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9F0" w14:textId="6F916D61" w:rsidR="00BC5B79" w:rsidRDefault="00BC5B79" w:rsidP="00A119D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91E0CB6" wp14:editId="50DA804D">
            <wp:extent cx="1119505" cy="408305"/>
            <wp:effectExtent l="0" t="0" r="4445" b="0"/>
            <wp:docPr id="2" name="Imagem 0" descr="Logo revi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0" descr="Logo revis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C2F" w:rsidRPr="00861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4BDA9" w14:textId="3A2BBA7D" w:rsidR="003F551E" w:rsidRPr="003F551E" w:rsidRDefault="003F551E" w:rsidP="003F551E">
      <w:pPr>
        <w:jc w:val="both"/>
        <w:rPr>
          <w:rFonts w:ascii="Century Gothic" w:hAnsi="Century Gothic" w:cs="Times New Roman"/>
          <w:b/>
          <w:sz w:val="32"/>
          <w:szCs w:val="24"/>
        </w:rPr>
      </w:pPr>
      <w:r w:rsidRPr="003F551E">
        <w:rPr>
          <w:rFonts w:ascii="Century Gothic" w:hAnsi="Century Gothic" w:cs="Times New Roman"/>
          <w:b/>
          <w:sz w:val="32"/>
          <w:szCs w:val="24"/>
        </w:rPr>
        <w:t>“NECROPOLÍTICA”, DE ACHILLE MBEMBE</w:t>
      </w:r>
    </w:p>
    <w:p w14:paraId="466CA09D" w14:textId="5D933438" w:rsidR="00BC5B79" w:rsidRDefault="003F551E" w:rsidP="00F904B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“</w:t>
      </w:r>
      <w:proofErr w:type="spellStart"/>
      <w:r>
        <w:rPr>
          <w:rFonts w:ascii="Century Gothic" w:hAnsi="Century Gothic"/>
          <w:b/>
        </w:rPr>
        <w:t>Nrcropolitic</w:t>
      </w:r>
      <w:proofErr w:type="spellEnd"/>
      <w:r>
        <w:rPr>
          <w:rFonts w:ascii="Century Gothic" w:hAnsi="Century Gothic"/>
          <w:b/>
        </w:rPr>
        <w:t xml:space="preserve">”, </w:t>
      </w:r>
      <w:proofErr w:type="spellStart"/>
      <w:r>
        <w:rPr>
          <w:rFonts w:ascii="Century Gothic" w:hAnsi="Century Gothic"/>
          <w:b/>
        </w:rPr>
        <w:t>by</w:t>
      </w:r>
      <w:proofErr w:type="spellEnd"/>
      <w:r>
        <w:rPr>
          <w:rFonts w:ascii="Century Gothic" w:hAnsi="Century Gothic"/>
          <w:b/>
        </w:rPr>
        <w:t xml:space="preserve"> Achille </w:t>
      </w:r>
      <w:proofErr w:type="spellStart"/>
      <w:r>
        <w:rPr>
          <w:rFonts w:ascii="Century Gothic" w:hAnsi="Century Gothic"/>
          <w:b/>
        </w:rPr>
        <w:t>Mbembe</w:t>
      </w:r>
      <w:proofErr w:type="spellEnd"/>
      <w:r w:rsidR="0090381B" w:rsidRPr="0090381B">
        <w:rPr>
          <w:rFonts w:ascii="Century Gothic" w:hAnsi="Century Gothic"/>
          <w:b/>
        </w:rPr>
        <w:t xml:space="preserve"> </w:t>
      </w:r>
      <w:r w:rsidR="00000000">
        <w:rPr>
          <w:rFonts w:ascii="Century Gothic" w:hAnsi="Century Gothic"/>
          <w:b/>
        </w:rPr>
        <w:pict w14:anchorId="092E0B1A">
          <v:rect id="_x0000_i1025" style="width:453.55pt;height:1.5pt" o:hralign="center" o:hrstd="t" o:hr="t" fillcolor="#a0a0a0" stroked="f"/>
        </w:pict>
      </w:r>
    </w:p>
    <w:p w14:paraId="3B3A14B1" w14:textId="23D63FCC" w:rsidR="00BC5B79" w:rsidRPr="00BC5B79" w:rsidRDefault="003F551E" w:rsidP="00BC5B79">
      <w:pPr>
        <w:spacing w:after="0" w:line="240" w:lineRule="auto"/>
        <w:ind w:left="567" w:right="-1"/>
        <w:jc w:val="right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Alexis Azevedo de Jesus</w:t>
      </w:r>
    </w:p>
    <w:p w14:paraId="3E38A51E" w14:textId="77777777" w:rsidR="00BC5B79" w:rsidRDefault="00BC5B79" w:rsidP="00BC5B79">
      <w:pPr>
        <w:spacing w:after="0" w:line="240" w:lineRule="auto"/>
        <w:ind w:left="567" w:right="849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E233489" w14:textId="77777777" w:rsidR="00BC5B79" w:rsidRDefault="00BC5B79" w:rsidP="00BC5B79">
      <w:pPr>
        <w:spacing w:after="0" w:line="240" w:lineRule="auto"/>
        <w:ind w:left="567" w:right="849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028853E8" w14:textId="77777777" w:rsidR="005A7045" w:rsidRDefault="005A7045" w:rsidP="005A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45E278" w14:textId="77777777" w:rsidR="005A7045" w:rsidRDefault="005A7045" w:rsidP="005A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B8C76F" w14:textId="10C23B9F" w:rsidR="003F551E" w:rsidRPr="003F551E" w:rsidRDefault="003F551E" w:rsidP="003F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O conceito de Necropolítica, cunhado pelo filósofo camaronês Achille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, tem sido fonte de intensa discussão e produção teórica nas universidades.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é professor de história, ciência política e pesquisador sênior no Instituto de Investigação Econômica e Social da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Universidade·de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Witwatersrand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>. Produziu diversas obras, tais como, “Políticas da inimizade” (2017), “Crítica da razão negra” (2018), “Sair da grande noite: ensaio sobre a África descolonizada” (2019), sendo o texto “Necropolítica” (2003) a mais conhecida entre suas produções.</w:t>
      </w:r>
    </w:p>
    <w:p w14:paraId="1DC7D57A" w14:textId="77777777" w:rsidR="003F551E" w:rsidRPr="003F551E" w:rsidRDefault="003F551E" w:rsidP="003F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Para o professor Silvio Almeida, autor de Racismo Estrutural (2020) e um dos maiores intelectuais negros em atividade no Brasil,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</w:p>
    <w:p w14:paraId="16556F62" w14:textId="77777777" w:rsidR="003F551E" w:rsidRPr="003F551E" w:rsidRDefault="003F551E" w:rsidP="003F551E">
      <w:pPr>
        <w:spacing w:after="0" w:line="360" w:lineRule="auto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EAFB5" w14:textId="77777777" w:rsidR="003F551E" w:rsidRPr="003F551E" w:rsidRDefault="003F551E" w:rsidP="003F551E">
      <w:pPr>
        <w:spacing w:after="0"/>
        <w:ind w:left="2836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é um dos mais influentes pensadores do nosso tempo. Sua reflexão parte da obra de Frantz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Fanon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para romper tanto com a lógica colonial que ainda preside a constituição do mundo como com os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essencialiamos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que marcam algumas formas de pensar a África. (ALMEIDA, 2020)</w:t>
      </w:r>
    </w:p>
    <w:p w14:paraId="70C799ED" w14:textId="77777777" w:rsidR="003F551E" w:rsidRPr="003F551E" w:rsidRDefault="003F551E" w:rsidP="003F55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91DDF" w14:textId="77777777" w:rsidR="003F551E" w:rsidRPr="003F551E" w:rsidRDefault="003F551E" w:rsidP="003F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>Nesses termos, a resenha busca contribuir com a discussão pública. Ao final, sugerimos elementos que possam justificar a aderência desse debate no meio acadêmico e uma reflexão sobre seu necessário aprofundamento.</w:t>
      </w:r>
    </w:p>
    <w:p w14:paraId="2AD514D5" w14:textId="77777777" w:rsidR="00E06184" w:rsidRDefault="00E06184" w:rsidP="004E2B02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641E69" w14:textId="77777777" w:rsidR="003F551E" w:rsidRDefault="003F551E" w:rsidP="003F551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Breve panorama da Necropolítica</w:t>
      </w:r>
    </w:p>
    <w:p w14:paraId="658208EE" w14:textId="0D5F758B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O texto está dividido em cinco partes: </w:t>
      </w:r>
      <w:proofErr w:type="gramStart"/>
      <w:r w:rsidRPr="003F551E">
        <w:rPr>
          <w:rFonts w:ascii="Times New Roman" w:hAnsi="Times New Roman" w:cs="Times New Roman"/>
          <w:sz w:val="24"/>
          <w:szCs w:val="24"/>
        </w:rPr>
        <w:t>1)“</w:t>
      </w:r>
      <w:proofErr w:type="gramEnd"/>
      <w:r w:rsidRPr="003F551E">
        <w:rPr>
          <w:rFonts w:ascii="Times New Roman" w:hAnsi="Times New Roman" w:cs="Times New Roman"/>
          <w:sz w:val="24"/>
          <w:szCs w:val="24"/>
        </w:rPr>
        <w:t>Política, o trabalho da morte e tornar-se sujeito”; 2)“O biopoder e a relação de inimizade”; 3)“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Necropoder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e ocupação colonial na modernidade tardia”; 4)“Máquinas de guerra e heteronomia”; 5)“De movimento e metal”.</w:t>
      </w:r>
    </w:p>
    <w:p w14:paraId="489D7DD5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F13961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lastRenderedPageBreak/>
        <w:t xml:space="preserve">Na primeira parte,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discute filosoficamente a morte e sua relação com a soberania a partir de Hegel e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Bataille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, definindo que a luta contra a morte constitui o sujeito. “Tornar-se sujeito, portanto, supõe sustentar o trabalho da morte (p. 125). Contudo, em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Bataille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>, aponta deslocamentos na compreensão de Hegel e indica que a “soberania definitivamente demanda o risco de morte”.</w:t>
      </w:r>
    </w:p>
    <w:p w14:paraId="2D3338BF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4D08E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No segundo momento, retoma a discussão de biopoder e racismo em Foucault e apresenta o debate da fusão entre razão e terror na modernidade, indicando como exemplo o processo histórico da revolução francesa, bem como uma crítica à Marx e o comunismo no sentido do terror revolucionário. Todavia, “qualquer relato histórico do surgimento do terror moderno precisa tratar da escravidão” (p. 130). Nesses termos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apresenta uma construção teórica sobre o escravo e indica que a colônia é uma “formação de terror”.</w:t>
      </w:r>
    </w:p>
    <w:p w14:paraId="369190E8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0EC67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>Em suma, as colônias são zonas em que guerra e desordem, figuras internas e externas da política, ficam lado a lado ou se alternam. Como tal, as colônias são o local por excelência em que os controles e as garantias de ordem judicial podem ser suspensos – a zona em que a violência do estado de exceção supostamente opera a serviço da “civilização”. Da negação racial de qualquer vínculo comum entre o conquistador e o nativo provém a constatação de que as colônias possam ser governadas na ilegalidade absoluta. (p. 133)</w:t>
      </w:r>
    </w:p>
    <w:p w14:paraId="4C29CFE8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9E2BA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Com base nas discussões acerca da morte, soberania e colônia, na terceira parte, caracteriza que é no espaço da ocupação colonial tardia que o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necropoder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opera. Mas, a ocupação colonial tardia não se resume ao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necropoder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>. É, na verdade, uma “combinação disciplinar, biopolítica e necropolítica”. (p. 135, 136).</w:t>
      </w:r>
    </w:p>
    <w:p w14:paraId="2B1BE58B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1D598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A palestina seria então o principal exemplo de ocupação colonial contemporânea. “A forma mais bem sucedida de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necropoder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” (p. 136). Há de forma bastante esclarecedora uma descrição da violência operada na ocupação colonial tardia, com informações sobre os campos de batalhas, subsolo, uso de tecnologia e técnicas de inabilitação do inimigo conduzindo uma “guerra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infraestrutural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>” nesses territórios.</w:t>
      </w:r>
    </w:p>
    <w:p w14:paraId="40AC08BA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79F9D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No quarto tópico,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analisa que o exército regular já não monopoliza o direito de matar. Agora são “milícias urbanas, exércitos privados, exércitos de senhores regionais, </w:t>
      </w:r>
      <w:r w:rsidRPr="003F551E">
        <w:rPr>
          <w:rFonts w:ascii="Times New Roman" w:hAnsi="Times New Roman" w:cs="Times New Roman"/>
          <w:sz w:val="24"/>
          <w:szCs w:val="24"/>
        </w:rPr>
        <w:lastRenderedPageBreak/>
        <w:t>segurança privada e exércitos de Estado que proclamam o direito de exercer violência ou matar.” (p. 139) Então, introduz o conceito de “máquina de guerra” de Deleuze e Guattari.</w:t>
      </w:r>
    </w:p>
    <w:p w14:paraId="0709DFF1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>Essas máquinas são constituídas por segmentos de homens armados que se dividem ou se mesclam, dependendo da tarefa e das circunstâncias. Organizações polimorfas e difusas, as máquinas de guerra se caracterizam por sua capacidade de metamorfose. Sua relação com o espaço é móvel. Algumas vezes, desfrutam de relações complexas com formas estatais (da autonomia à incorporação). O Estado pode, por si mesmo, se transformar em uma máquina de guerra. Pode, ainda, se apropriar de uma máquina de guerra ou ajudar a criar uma. (p. 140)</w:t>
      </w:r>
    </w:p>
    <w:p w14:paraId="6EDC2390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Finalmente, no quinto e último tópico,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estabelece uma reflexão sobre o “sobrevivente”, aquele que “tendo percorrido o caminho da morte, sabendo dos extermínios e permanecendo entre os que caíram, ainda está vivo.” (p. 142). A partir de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Gilroy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, também reflete a morte como possibilidade de liberdade, sugerindo que a morte pode ser representada “como agenciamento, já que a morte é precisamente aquilo </w:t>
      </w:r>
      <w:proofErr w:type="gramStart"/>
      <w:r w:rsidRPr="003F551E">
        <w:rPr>
          <w:rFonts w:ascii="Times New Roman" w:hAnsi="Times New Roman" w:cs="Times New Roman"/>
          <w:sz w:val="24"/>
          <w:szCs w:val="24"/>
        </w:rPr>
        <w:t>por que</w:t>
      </w:r>
      <w:proofErr w:type="gramEnd"/>
      <w:r w:rsidRPr="003F551E">
        <w:rPr>
          <w:rFonts w:ascii="Times New Roman" w:hAnsi="Times New Roman" w:cs="Times New Roman"/>
          <w:sz w:val="24"/>
          <w:szCs w:val="24"/>
        </w:rPr>
        <w:t xml:space="preserve"> e sobre o que tenho poder. Mas também é esse espaço em que a liberdade e a negação operam.” (p. 146).</w:t>
      </w:r>
    </w:p>
    <w:p w14:paraId="43A217F1" w14:textId="77777777" w:rsid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A conclusão passa pela caracterização de que </w:t>
      </w:r>
      <w:r w:rsidRPr="003F551E">
        <w:rPr>
          <w:rFonts w:ascii="Times New Roman" w:hAnsi="Times New Roman" w:cs="Times New Roman"/>
          <w:i/>
          <w:sz w:val="24"/>
          <w:szCs w:val="24"/>
        </w:rPr>
        <w:t xml:space="preserve">a noção de biopoder é insuficiente para explicar as formas contemporâneas de subjugação da vida ao poder da morte, </w:t>
      </w:r>
      <w:r w:rsidRPr="003F551E">
        <w:rPr>
          <w:rFonts w:ascii="Times New Roman" w:hAnsi="Times New Roman" w:cs="Times New Roman"/>
          <w:sz w:val="24"/>
          <w:szCs w:val="24"/>
        </w:rPr>
        <w:t>pois agora convivemos com</w:t>
      </w:r>
      <w:r w:rsidRPr="003F551E">
        <w:rPr>
          <w:rFonts w:ascii="Times New Roman" w:hAnsi="Times New Roman" w:cs="Times New Roman"/>
          <w:i/>
          <w:sz w:val="24"/>
          <w:szCs w:val="24"/>
        </w:rPr>
        <w:t xml:space="preserve"> “mundos de morte”, </w:t>
      </w:r>
      <w:r w:rsidRPr="003F551E">
        <w:rPr>
          <w:rFonts w:ascii="Times New Roman" w:hAnsi="Times New Roman" w:cs="Times New Roman"/>
          <w:sz w:val="24"/>
          <w:szCs w:val="24"/>
        </w:rPr>
        <w:t>nos quais</w:t>
      </w:r>
      <w:r w:rsidRPr="003F551E">
        <w:rPr>
          <w:rFonts w:ascii="Times New Roman" w:hAnsi="Times New Roman" w:cs="Times New Roman"/>
          <w:i/>
          <w:sz w:val="24"/>
          <w:szCs w:val="24"/>
        </w:rPr>
        <w:t xml:space="preserve"> “vastas populações são submetidas a condições de vida que lhes conferem o</w:t>
      </w:r>
      <w:r w:rsidRPr="003F551E">
        <w:rPr>
          <w:rFonts w:ascii="Times New Roman" w:hAnsi="Times New Roman" w:cs="Times New Roman"/>
          <w:i/>
          <w:sz w:val="24"/>
          <w:szCs w:val="24"/>
        </w:rPr>
        <w:br/>
        <w:t>status de “mortos-vivos”.</w:t>
      </w:r>
    </w:p>
    <w:p w14:paraId="30302818" w14:textId="77777777" w:rsidR="003F551E" w:rsidRPr="003F551E" w:rsidRDefault="003F551E" w:rsidP="003F551E">
      <w:pPr>
        <w:tabs>
          <w:tab w:val="left" w:pos="567"/>
          <w:tab w:val="left" w:pos="1416"/>
          <w:tab w:val="left" w:pos="2124"/>
          <w:tab w:val="left" w:pos="2832"/>
          <w:tab w:val="left" w:pos="3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 xml:space="preserve">A contribuição de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atualiza e amplia a reflexão filosófica em um mundo extremamente autoritário e violento, no qual as populações em todo o globo lutam para escapar das mazelas de um sistema em crise, considerando as guerras, migrações forçadas, extermínio de comunidades negras em diversos países, enfim, um verdadeiro mundo de morte.</w:t>
      </w:r>
    </w:p>
    <w:p w14:paraId="7EB4550E" w14:textId="77777777" w:rsidR="00E06184" w:rsidRDefault="00E06184" w:rsidP="004E2B0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FEB73" w14:textId="7D4AA1BA" w:rsidR="00E06184" w:rsidRPr="005A7045" w:rsidRDefault="003F551E" w:rsidP="004E2B0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3AD4EEA2" w14:textId="77777777" w:rsidR="003F551E" w:rsidRPr="003F551E" w:rsidRDefault="00240B00" w:rsidP="003F551E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551E" w:rsidRPr="003F551E">
        <w:rPr>
          <w:rFonts w:ascii="Times New Roman" w:hAnsi="Times New Roman" w:cs="Times New Roman"/>
          <w:sz w:val="24"/>
          <w:szCs w:val="24"/>
        </w:rPr>
        <w:t xml:space="preserve">Sugerimos que o conceito tem encontrado grande aderência acadêmica por conta de duas questões importantes. Uma primeira questão diz respeito à aproximação da ciência brasileira com teorias pós-estruturalistas, pós-coloniais, momento em que há uma maior atenção aos autores africanos, o que inclui Achille </w:t>
      </w:r>
      <w:proofErr w:type="spellStart"/>
      <w:r w:rsidR="003F551E"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="003F551E" w:rsidRPr="003F551E">
        <w:rPr>
          <w:rFonts w:ascii="Times New Roman" w:hAnsi="Times New Roman" w:cs="Times New Roman"/>
          <w:sz w:val="24"/>
          <w:szCs w:val="24"/>
        </w:rPr>
        <w:t xml:space="preserve">. Um segundo elemento, trata da semelhança com nossa realidade nacional, considerando a descrição feita por </w:t>
      </w:r>
      <w:proofErr w:type="spellStart"/>
      <w:r w:rsidR="003F551E"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="003F551E" w:rsidRPr="003F551E">
        <w:rPr>
          <w:rFonts w:ascii="Times New Roman" w:hAnsi="Times New Roman" w:cs="Times New Roman"/>
          <w:sz w:val="24"/>
          <w:szCs w:val="24"/>
        </w:rPr>
        <w:t xml:space="preserve"> da violência em Gaza/Cisjordânia, mas que poderia ser facilmente visualizada em grande parte das periferias brasileiras.</w:t>
      </w:r>
    </w:p>
    <w:p w14:paraId="15D384C9" w14:textId="77777777" w:rsidR="003F551E" w:rsidRPr="003F551E" w:rsidRDefault="003F551E" w:rsidP="00CF045A">
      <w:pPr>
        <w:tabs>
          <w:tab w:val="left" w:pos="567"/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E2AFFF" w14:textId="77777777" w:rsidR="003F551E" w:rsidRDefault="003F551E" w:rsidP="003F551E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lastRenderedPageBreak/>
        <w:t xml:space="preserve">Por fim, como observação crítica e sugestão de pesquisa, registro que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conceitua a necropolítica, contudo, não justifica como chegamos até esse momento histórico. Como chegamos até a necropolítica? O que aconteceu, para estarmos diante da criação de </w:t>
      </w:r>
      <w:r w:rsidRPr="003F551E">
        <w:rPr>
          <w:rFonts w:ascii="Times New Roman" w:hAnsi="Times New Roman" w:cs="Times New Roman"/>
          <w:i/>
          <w:sz w:val="24"/>
          <w:szCs w:val="24"/>
        </w:rPr>
        <w:t>campos da morte?</w:t>
      </w:r>
      <w:r w:rsidRPr="003F5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51E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3F551E">
        <w:rPr>
          <w:rFonts w:ascii="Times New Roman" w:hAnsi="Times New Roman" w:cs="Times New Roman"/>
          <w:sz w:val="24"/>
          <w:szCs w:val="24"/>
        </w:rPr>
        <w:t xml:space="preserve"> descreve a necropolítica, mas não justifica o seu surgimento histórico.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0E8E1" w14:textId="2BFAD5A4" w:rsidR="003F551E" w:rsidRDefault="003F551E" w:rsidP="003F551E">
      <w:pPr>
        <w:tabs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51E">
        <w:rPr>
          <w:rFonts w:ascii="Times New Roman" w:hAnsi="Times New Roman" w:cs="Times New Roman"/>
          <w:sz w:val="24"/>
          <w:szCs w:val="24"/>
        </w:rPr>
        <w:t>A busca por essa explicação pode abrir um profícuo campo de pesquisa para pensarmos o desenvolvimento do capitalismo e suas diversas formas sociais e expressões. Sugerimos pensar essa possibilidade a partir dos apontamentos de Hilário (2016) e Cardoso (2018) que relacionam a necropolítica com a crise estrutural do capital. Poder-se ia indicar, assim, a crise capitalista como base material para o surgimento histórico da necropolítica. Assim, indicamos uma aproximação da discussão da necropolítica com a crítica da economia política, como caminho de aprofundamento da reflexão.</w:t>
      </w:r>
    </w:p>
    <w:p w14:paraId="46752695" w14:textId="77777777" w:rsidR="003F551E" w:rsidRDefault="003F551E" w:rsidP="003F551E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550C9" w14:textId="77777777" w:rsidR="00E06184" w:rsidRDefault="00E06184" w:rsidP="00240B00">
      <w:pPr>
        <w:tabs>
          <w:tab w:val="left" w:pos="6850"/>
        </w:tabs>
        <w:rPr>
          <w:rFonts w:ascii="Times New Roman" w:hAnsi="Times New Roman" w:cs="Times New Roman"/>
          <w:sz w:val="24"/>
          <w:szCs w:val="24"/>
        </w:rPr>
      </w:pPr>
    </w:p>
    <w:p w14:paraId="6D592840" w14:textId="26084840" w:rsidR="00E06184" w:rsidRPr="004E2B02" w:rsidRDefault="00E06184" w:rsidP="00240B00">
      <w:pPr>
        <w:tabs>
          <w:tab w:val="left" w:pos="68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E2B02">
        <w:rPr>
          <w:rFonts w:ascii="Times New Roman" w:hAnsi="Times New Roman" w:cs="Times New Roman"/>
          <w:b/>
          <w:bCs/>
          <w:sz w:val="24"/>
          <w:szCs w:val="24"/>
        </w:rPr>
        <w:t xml:space="preserve">Referência </w:t>
      </w:r>
    </w:p>
    <w:p w14:paraId="069FDA0C" w14:textId="5FA73607" w:rsidR="003F551E" w:rsidRDefault="003F551E" w:rsidP="003F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Almeida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Silvio Luiz de. (2018). O que é racismo estrutural. </w:t>
      </w:r>
      <w:r w:rsidR="000B4BDB">
        <w:rPr>
          <w:rFonts w:ascii="Times New Roman" w:hAnsi="Times New Roman" w:cs="Times New Roman"/>
          <w:sz w:val="24"/>
          <w:szCs w:val="24"/>
        </w:rPr>
        <w:t xml:space="preserve">Belo </w:t>
      </w:r>
      <w:proofErr w:type="spellStart"/>
      <w:r w:rsidR="000B4BDB">
        <w:rPr>
          <w:rFonts w:ascii="Times New Roman" w:hAnsi="Times New Roman" w:cs="Times New Roman"/>
          <w:sz w:val="24"/>
          <w:szCs w:val="24"/>
        </w:rPr>
        <w:t>Horizonte:</w:t>
      </w:r>
      <w:r>
        <w:rPr>
          <w:rFonts w:ascii="Times New Roman" w:hAnsi="Times New Roman" w:cs="Times New Roman"/>
          <w:sz w:val="24"/>
          <w:szCs w:val="24"/>
        </w:rPr>
        <w:t>Coleção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Feminismos Plurais. Ed. Letramento. MG.</w:t>
      </w:r>
    </w:p>
    <w:p w14:paraId="3D7CC1B8" w14:textId="77777777" w:rsidR="003F551E" w:rsidRDefault="003F551E" w:rsidP="003F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4067E" w14:textId="73423A98" w:rsidR="000B4BDB" w:rsidRDefault="003F551E" w:rsidP="003F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0B4BDB">
        <w:rPr>
          <w:rFonts w:ascii="Times New Roman" w:hAnsi="Times New Roman" w:cs="Times New Roman"/>
          <w:sz w:val="24"/>
          <w:szCs w:val="24"/>
        </w:rPr>
        <w:t>lmeirda</w:t>
      </w:r>
      <w:proofErr w:type="spellEnd"/>
      <w:r w:rsidR="000B4B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Silvio.</w:t>
      </w:r>
      <w:r w:rsidR="000B4B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0B4B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Disponível em:  </w:t>
      </w:r>
    </w:p>
    <w:p w14:paraId="762094FE" w14:textId="6D4D12B8" w:rsidR="003F551E" w:rsidRDefault="003F551E" w:rsidP="003F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https://twitter.com/silviolual/status/1237517479255007234?s=20&amp;t=XebrmqphA2s-lFO3vHcWZQ</w:t>
      </w:r>
    </w:p>
    <w:p w14:paraId="5B00DCB7" w14:textId="77777777" w:rsidR="003F551E" w:rsidRDefault="003F551E" w:rsidP="003F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04FD7" w14:textId="0B055BB0" w:rsidR="003F551E" w:rsidRDefault="003F551E" w:rsidP="003F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B4BDB">
        <w:rPr>
          <w:rFonts w:ascii="Times New Roman" w:hAnsi="Times New Roman" w:cs="Times New Roman"/>
          <w:sz w:val="24"/>
          <w:szCs w:val="24"/>
        </w:rPr>
        <w:t xml:space="preserve">ardoso,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Francilene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4BDB">
        <w:rPr>
          <w:rFonts w:ascii="Times New Roman" w:hAnsi="Times New Roman" w:cs="Times New Roman"/>
          <w:sz w:val="24"/>
          <w:szCs w:val="24"/>
        </w:rPr>
        <w:t xml:space="preserve"> (2018)</w:t>
      </w:r>
      <w:r>
        <w:rPr>
          <w:rFonts w:ascii="Times New Roman" w:hAnsi="Times New Roman" w:cs="Times New Roman"/>
          <w:sz w:val="24"/>
          <w:szCs w:val="24"/>
        </w:rPr>
        <w:t xml:space="preserve"> Racismo e necropolítica: a lógica do genocídio de negros e negras no Brasil contemporâneo. Revista de Políticas Públicas. V. 22. 2018.</w:t>
      </w:r>
    </w:p>
    <w:p w14:paraId="31A3D282" w14:textId="77777777" w:rsidR="003F551E" w:rsidRDefault="003F551E" w:rsidP="003F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F922D" w14:textId="26F1A8DA" w:rsidR="003F551E" w:rsidRDefault="003F551E" w:rsidP="003F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B4BDB">
        <w:rPr>
          <w:rFonts w:ascii="Times New Roman" w:hAnsi="Times New Roman" w:cs="Times New Roman"/>
          <w:sz w:val="24"/>
          <w:szCs w:val="24"/>
        </w:rPr>
        <w:t xml:space="preserve">ilário, </w:t>
      </w:r>
      <w:r>
        <w:rPr>
          <w:rFonts w:ascii="Times New Roman" w:hAnsi="Times New Roman" w:cs="Times New Roman"/>
          <w:sz w:val="24"/>
          <w:szCs w:val="24"/>
        </w:rPr>
        <w:t>Leomir.</w:t>
      </w:r>
      <w:r w:rsidR="000B4BDB">
        <w:rPr>
          <w:rFonts w:ascii="Times New Roman" w:hAnsi="Times New Roman" w:cs="Times New Roman"/>
          <w:sz w:val="24"/>
          <w:szCs w:val="24"/>
        </w:rPr>
        <w:t xml:space="preserve"> (2016). </w:t>
      </w:r>
      <w:r>
        <w:rPr>
          <w:rFonts w:ascii="Times New Roman" w:hAnsi="Times New Roman" w:cs="Times New Roman"/>
          <w:sz w:val="24"/>
          <w:szCs w:val="24"/>
        </w:rPr>
        <w:t xml:space="preserve"> Da Biopolítica à necropolítica. Variações Foucaultianas na periferia do capitalismo.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Sapere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Aude</w:t>
      </w:r>
      <w:proofErr w:type="spellEnd"/>
      <w:r>
        <w:rPr>
          <w:rFonts w:ascii="Times New Roman" w:hAnsi="Times New Roman" w:cs="Times New Roman"/>
          <w:sz w:val="24"/>
          <w:szCs w:val="24"/>
        </w:rPr>
        <w:t>. V. 7. nº 13. 2016.</w:t>
      </w:r>
    </w:p>
    <w:p w14:paraId="5A27B717" w14:textId="77777777" w:rsidR="003F551E" w:rsidRDefault="003F551E" w:rsidP="003F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6CA7C" w14:textId="7F4B7BA6" w:rsidR="005C4575" w:rsidRDefault="000B4BDB" w:rsidP="000B4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Achille. (2003) Necropolítica. </w:t>
      </w:r>
      <w:r w:rsidR="003F551E">
        <w:rPr>
          <w:rFonts w:ascii="Times New Roman" w:hAnsi="Times New Roman" w:cs="Times New Roman"/>
          <w:sz w:val="24"/>
          <w:szCs w:val="24"/>
        </w:rPr>
        <w:t xml:space="preserve">2003. Disponível em: </w:t>
      </w:r>
      <w:hyperlink r:id="rId9" w:history="1">
        <w:r w:rsidRPr="00700DD2">
          <w:rPr>
            <w:rStyle w:val="Hyperlink"/>
            <w:rFonts w:ascii="Times New Roman" w:hAnsi="Times New Roman" w:cs="Times New Roman"/>
            <w:sz w:val="24"/>
            <w:szCs w:val="24"/>
          </w:rPr>
          <w:t>https://revistas.ufrj.br/index.php/ae/article/view/8993/7169 Acessado em 20/01/2023</w:t>
        </w:r>
      </w:hyperlink>
    </w:p>
    <w:p w14:paraId="0936C0DD" w14:textId="77777777" w:rsidR="000B4BDB" w:rsidRDefault="000B4BDB" w:rsidP="000B4B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821BF9" w14:textId="77777777" w:rsidR="004525E8" w:rsidRDefault="004525E8" w:rsidP="00240B0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77EB36" w14:textId="77777777" w:rsidR="004525E8" w:rsidRPr="008617FC" w:rsidRDefault="004525E8" w:rsidP="00240B0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6DDCD9" w14:textId="77777777" w:rsidR="00200AD1" w:rsidRPr="008617FC" w:rsidRDefault="00200AD1" w:rsidP="00240B00">
      <w:pPr>
        <w:spacing w:after="0" w:line="480" w:lineRule="auto"/>
        <w:ind w:left="181" w:hanging="181"/>
        <w:jc w:val="both"/>
        <w:rPr>
          <w:rFonts w:ascii="Times New Roman" w:hAnsi="Times New Roman" w:cs="Times New Roman"/>
          <w:sz w:val="24"/>
          <w:szCs w:val="24"/>
        </w:rPr>
      </w:pPr>
    </w:p>
    <w:sectPr w:rsidR="00200AD1" w:rsidRPr="008617FC" w:rsidSect="00CF045A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pgNumType w:start="1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5E52" w14:textId="77777777" w:rsidR="007473CD" w:rsidRDefault="007473CD" w:rsidP="00C03A05">
      <w:pPr>
        <w:spacing w:after="0" w:line="240" w:lineRule="auto"/>
      </w:pPr>
      <w:r>
        <w:separator/>
      </w:r>
    </w:p>
  </w:endnote>
  <w:endnote w:type="continuationSeparator" w:id="0">
    <w:p w14:paraId="45022AAD" w14:textId="77777777" w:rsidR="007473CD" w:rsidRDefault="007473CD" w:rsidP="00C0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48C5" w14:textId="5BBD18CA" w:rsidR="004E2B02" w:rsidRDefault="004E2B02" w:rsidP="004E2B02">
    <w:pPr>
      <w:pStyle w:val="Rodap"/>
      <w:jc w:val="right"/>
      <w:rPr>
        <w:rFonts w:ascii="Times New Roman" w:hAnsi="Times New Roman" w:cs="Times New Roman"/>
        <w:i/>
        <w:iCs/>
      </w:rPr>
    </w:pPr>
    <w:r w:rsidRPr="00F904B7">
      <w:rPr>
        <w:rFonts w:ascii="Times New Roman" w:hAnsi="Times New Roman" w:cs="Times New Roman"/>
        <w:i/>
        <w:iCs/>
      </w:rPr>
      <w:t xml:space="preserve">Clínica &amp; Cultura v. 9, </w:t>
    </w:r>
    <w:proofErr w:type="spellStart"/>
    <w:r w:rsidRPr="00F904B7">
      <w:rPr>
        <w:rFonts w:ascii="Times New Roman" w:hAnsi="Times New Roman" w:cs="Times New Roman"/>
        <w:i/>
        <w:iCs/>
      </w:rPr>
      <w:t>jan</w:t>
    </w:r>
    <w:proofErr w:type="spellEnd"/>
    <w:r w:rsidRPr="00F904B7">
      <w:rPr>
        <w:rFonts w:ascii="Times New Roman" w:hAnsi="Times New Roman" w:cs="Times New Roman"/>
        <w:i/>
        <w:iCs/>
      </w:rPr>
      <w:t>-julho 202</w:t>
    </w:r>
    <w:r w:rsidR="006D4489">
      <w:rPr>
        <w:rFonts w:ascii="Times New Roman" w:hAnsi="Times New Roman" w:cs="Times New Roman"/>
        <w:i/>
        <w:iCs/>
      </w:rPr>
      <w:t>3</w:t>
    </w:r>
    <w:r w:rsidR="00235519" w:rsidRPr="00F904B7">
      <w:rPr>
        <w:rFonts w:ascii="Times New Roman" w:hAnsi="Times New Roman" w:cs="Times New Roman"/>
        <w:i/>
        <w:iCs/>
      </w:rPr>
      <w:t>, p.</w:t>
    </w:r>
    <w:r w:rsidR="00A94C2B">
      <w:rPr>
        <w:rFonts w:ascii="Times New Roman" w:hAnsi="Times New Roman" w:cs="Times New Roman"/>
        <w:i/>
        <w:iCs/>
      </w:rPr>
      <w:t xml:space="preserve"> 1</w:t>
    </w:r>
    <w:r w:rsidR="00CF045A">
      <w:rPr>
        <w:rFonts w:ascii="Times New Roman" w:hAnsi="Times New Roman" w:cs="Times New Roman"/>
        <w:i/>
        <w:iCs/>
      </w:rPr>
      <w:t>42</w:t>
    </w:r>
    <w:r w:rsidR="00A94C2B">
      <w:rPr>
        <w:rFonts w:ascii="Times New Roman" w:hAnsi="Times New Roman" w:cs="Times New Roman"/>
        <w:i/>
        <w:iCs/>
      </w:rPr>
      <w:t xml:space="preserve"> - 14</w:t>
    </w:r>
    <w:r w:rsidR="00CF045A">
      <w:rPr>
        <w:rFonts w:ascii="Times New Roman" w:hAnsi="Times New Roman" w:cs="Times New Roman"/>
        <w:i/>
        <w:iCs/>
      </w:rPr>
      <w:t>5</w:t>
    </w:r>
  </w:p>
  <w:p w14:paraId="66EE12B9" w14:textId="77777777" w:rsidR="00A94C2B" w:rsidRPr="00F904B7" w:rsidRDefault="00A94C2B" w:rsidP="004E2B02">
    <w:pPr>
      <w:pStyle w:val="Rodap"/>
      <w:jc w:val="right"/>
      <w:rPr>
        <w:rFonts w:ascii="Times New Roman" w:hAnsi="Times New Roman" w:cs="Times New Roman"/>
        <w:sz w:val="24"/>
        <w:szCs w:val="24"/>
      </w:rPr>
    </w:pPr>
  </w:p>
  <w:p w14:paraId="02929BAC" w14:textId="77777777" w:rsidR="004E2B02" w:rsidRDefault="004E2B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D526" w14:textId="77777777" w:rsidR="007473CD" w:rsidRDefault="007473CD" w:rsidP="00C03A05">
      <w:pPr>
        <w:spacing w:after="0" w:line="240" w:lineRule="auto"/>
      </w:pPr>
      <w:r>
        <w:separator/>
      </w:r>
    </w:p>
  </w:footnote>
  <w:footnote w:type="continuationSeparator" w:id="0">
    <w:p w14:paraId="07D0DEE5" w14:textId="77777777" w:rsidR="007473CD" w:rsidRDefault="007473CD" w:rsidP="00C0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720751"/>
      <w:docPartObj>
        <w:docPartGallery w:val="Page Numbers (Top of Page)"/>
        <w:docPartUnique/>
      </w:docPartObj>
    </w:sdtPr>
    <w:sdtContent>
      <w:p w14:paraId="74A0D226" w14:textId="56B170BB" w:rsidR="00A94C2B" w:rsidRDefault="00A94C2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3BF71" w14:textId="77777777" w:rsidR="00A94C2B" w:rsidRDefault="00A94C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0C8"/>
    <w:multiLevelType w:val="hybridMultilevel"/>
    <w:tmpl w:val="2CB2035E"/>
    <w:lvl w:ilvl="0" w:tplc="ACCCC1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444FF"/>
    <w:multiLevelType w:val="hybridMultilevel"/>
    <w:tmpl w:val="F2F40C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05AAD"/>
    <w:multiLevelType w:val="multilevel"/>
    <w:tmpl w:val="F2C87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F528A"/>
    <w:multiLevelType w:val="hybridMultilevel"/>
    <w:tmpl w:val="9E06C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5EA1"/>
    <w:multiLevelType w:val="hybridMultilevel"/>
    <w:tmpl w:val="537662F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23BAE"/>
    <w:multiLevelType w:val="hybridMultilevel"/>
    <w:tmpl w:val="E132B5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84887"/>
    <w:multiLevelType w:val="multilevel"/>
    <w:tmpl w:val="2FFC634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0877CC"/>
    <w:multiLevelType w:val="hybridMultilevel"/>
    <w:tmpl w:val="8D2070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418FF"/>
    <w:multiLevelType w:val="hybridMultilevel"/>
    <w:tmpl w:val="7B886E22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9065C"/>
    <w:multiLevelType w:val="hybridMultilevel"/>
    <w:tmpl w:val="E8164FA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56CC5"/>
    <w:multiLevelType w:val="hybridMultilevel"/>
    <w:tmpl w:val="537C4C1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F6991"/>
    <w:multiLevelType w:val="hybridMultilevel"/>
    <w:tmpl w:val="FC7831B2"/>
    <w:lvl w:ilvl="0" w:tplc="71900166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 w15:restartNumberingAfterBreak="0">
    <w:nsid w:val="373358F9"/>
    <w:multiLevelType w:val="multilevel"/>
    <w:tmpl w:val="18A60C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9F7D15"/>
    <w:multiLevelType w:val="multilevel"/>
    <w:tmpl w:val="CDA60A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AA1694"/>
    <w:multiLevelType w:val="hybridMultilevel"/>
    <w:tmpl w:val="2CB2035E"/>
    <w:lvl w:ilvl="0" w:tplc="ACCCC1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52FDA"/>
    <w:multiLevelType w:val="hybridMultilevel"/>
    <w:tmpl w:val="5C6E82F0"/>
    <w:lvl w:ilvl="0" w:tplc="694AD83E">
      <w:start w:val="4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7693E"/>
    <w:multiLevelType w:val="hybridMultilevel"/>
    <w:tmpl w:val="B51ED1CA"/>
    <w:lvl w:ilvl="0" w:tplc="B3FA2C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E338A"/>
    <w:multiLevelType w:val="multilevel"/>
    <w:tmpl w:val="EDD8FA8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47B9D"/>
    <w:multiLevelType w:val="hybridMultilevel"/>
    <w:tmpl w:val="8BBE7A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E01B7"/>
    <w:multiLevelType w:val="hybridMultilevel"/>
    <w:tmpl w:val="22AEE1B6"/>
    <w:lvl w:ilvl="0" w:tplc="6C1602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8436D"/>
    <w:multiLevelType w:val="hybridMultilevel"/>
    <w:tmpl w:val="C3D667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96778"/>
    <w:multiLevelType w:val="hybridMultilevel"/>
    <w:tmpl w:val="573850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C18E7"/>
    <w:multiLevelType w:val="hybridMultilevel"/>
    <w:tmpl w:val="1AD256B8"/>
    <w:lvl w:ilvl="0" w:tplc="A622E9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74B74"/>
    <w:multiLevelType w:val="hybridMultilevel"/>
    <w:tmpl w:val="FB66FD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F54436"/>
    <w:multiLevelType w:val="hybridMultilevel"/>
    <w:tmpl w:val="A36E58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D2E24"/>
    <w:multiLevelType w:val="hybridMultilevel"/>
    <w:tmpl w:val="2B6C39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C6F91"/>
    <w:multiLevelType w:val="multilevel"/>
    <w:tmpl w:val="97D40C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4594C09"/>
    <w:multiLevelType w:val="multilevel"/>
    <w:tmpl w:val="547ED8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A37775"/>
    <w:multiLevelType w:val="hybridMultilevel"/>
    <w:tmpl w:val="F2CAC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5908049">
    <w:abstractNumId w:val="14"/>
  </w:num>
  <w:num w:numId="2" w16cid:durableId="1916087838">
    <w:abstractNumId w:val="19"/>
  </w:num>
  <w:num w:numId="3" w16cid:durableId="1284653924">
    <w:abstractNumId w:val="16"/>
  </w:num>
  <w:num w:numId="4" w16cid:durableId="1392148198">
    <w:abstractNumId w:val="13"/>
  </w:num>
  <w:num w:numId="5" w16cid:durableId="1516387665">
    <w:abstractNumId w:val="17"/>
  </w:num>
  <w:num w:numId="6" w16cid:durableId="768506472">
    <w:abstractNumId w:val="25"/>
  </w:num>
  <w:num w:numId="7" w16cid:durableId="1302810907">
    <w:abstractNumId w:val="12"/>
  </w:num>
  <w:num w:numId="8" w16cid:durableId="1628849689">
    <w:abstractNumId w:val="18"/>
  </w:num>
  <w:num w:numId="9" w16cid:durableId="2017732034">
    <w:abstractNumId w:val="8"/>
  </w:num>
  <w:num w:numId="10" w16cid:durableId="1606578542">
    <w:abstractNumId w:val="11"/>
  </w:num>
  <w:num w:numId="11" w16cid:durableId="1325937789">
    <w:abstractNumId w:val="3"/>
  </w:num>
  <w:num w:numId="12" w16cid:durableId="1816099928">
    <w:abstractNumId w:val="2"/>
  </w:num>
  <w:num w:numId="13" w16cid:durableId="10759970">
    <w:abstractNumId w:val="27"/>
  </w:num>
  <w:num w:numId="14" w16cid:durableId="2030178546">
    <w:abstractNumId w:val="26"/>
  </w:num>
  <w:num w:numId="15" w16cid:durableId="583533660">
    <w:abstractNumId w:val="22"/>
  </w:num>
  <w:num w:numId="16" w16cid:durableId="376660765">
    <w:abstractNumId w:val="20"/>
  </w:num>
  <w:num w:numId="17" w16cid:durableId="54744334">
    <w:abstractNumId w:val="24"/>
  </w:num>
  <w:num w:numId="18" w16cid:durableId="1425875688">
    <w:abstractNumId w:val="10"/>
  </w:num>
  <w:num w:numId="19" w16cid:durableId="1818721420">
    <w:abstractNumId w:val="4"/>
  </w:num>
  <w:num w:numId="20" w16cid:durableId="694690920">
    <w:abstractNumId w:val="7"/>
  </w:num>
  <w:num w:numId="21" w16cid:durableId="1900747730">
    <w:abstractNumId w:val="28"/>
  </w:num>
  <w:num w:numId="22" w16cid:durableId="2084528882">
    <w:abstractNumId w:val="23"/>
  </w:num>
  <w:num w:numId="23" w16cid:durableId="529343559">
    <w:abstractNumId w:val="1"/>
  </w:num>
  <w:num w:numId="24" w16cid:durableId="1384868499">
    <w:abstractNumId w:val="5"/>
  </w:num>
  <w:num w:numId="25" w16cid:durableId="122507307">
    <w:abstractNumId w:val="21"/>
  </w:num>
  <w:num w:numId="26" w16cid:durableId="154612983">
    <w:abstractNumId w:val="15"/>
  </w:num>
  <w:num w:numId="27" w16cid:durableId="483399243">
    <w:abstractNumId w:val="9"/>
  </w:num>
  <w:num w:numId="28" w16cid:durableId="1865902901">
    <w:abstractNumId w:val="6"/>
  </w:num>
  <w:num w:numId="29" w16cid:durableId="137214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8F"/>
    <w:rsid w:val="00005C6A"/>
    <w:rsid w:val="0001690C"/>
    <w:rsid w:val="00017B58"/>
    <w:rsid w:val="0002171A"/>
    <w:rsid w:val="000272BE"/>
    <w:rsid w:val="00036234"/>
    <w:rsid w:val="00036E2E"/>
    <w:rsid w:val="000444B5"/>
    <w:rsid w:val="00045B79"/>
    <w:rsid w:val="00052CF3"/>
    <w:rsid w:val="0005529F"/>
    <w:rsid w:val="0006136B"/>
    <w:rsid w:val="000673B2"/>
    <w:rsid w:val="00071E51"/>
    <w:rsid w:val="00072E80"/>
    <w:rsid w:val="0007317A"/>
    <w:rsid w:val="00077A95"/>
    <w:rsid w:val="00090B32"/>
    <w:rsid w:val="00094DAA"/>
    <w:rsid w:val="000A6142"/>
    <w:rsid w:val="000B4BDB"/>
    <w:rsid w:val="000C49F2"/>
    <w:rsid w:val="000D4CE7"/>
    <w:rsid w:val="000E1098"/>
    <w:rsid w:val="000E33CE"/>
    <w:rsid w:val="000F47B4"/>
    <w:rsid w:val="000F7379"/>
    <w:rsid w:val="00100929"/>
    <w:rsid w:val="00104224"/>
    <w:rsid w:val="00107C33"/>
    <w:rsid w:val="00113736"/>
    <w:rsid w:val="001177A8"/>
    <w:rsid w:val="001356C8"/>
    <w:rsid w:val="00141C2F"/>
    <w:rsid w:val="00141CC5"/>
    <w:rsid w:val="00162682"/>
    <w:rsid w:val="00162A73"/>
    <w:rsid w:val="00163360"/>
    <w:rsid w:val="00164DFC"/>
    <w:rsid w:val="00165B7A"/>
    <w:rsid w:val="00166024"/>
    <w:rsid w:val="00166C71"/>
    <w:rsid w:val="001835CB"/>
    <w:rsid w:val="001854E7"/>
    <w:rsid w:val="00193F4A"/>
    <w:rsid w:val="001A0675"/>
    <w:rsid w:val="001B702C"/>
    <w:rsid w:val="001C102B"/>
    <w:rsid w:val="001C500E"/>
    <w:rsid w:val="001E6497"/>
    <w:rsid w:val="001F2A48"/>
    <w:rsid w:val="001F310C"/>
    <w:rsid w:val="001F57FB"/>
    <w:rsid w:val="00200AD1"/>
    <w:rsid w:val="002030AA"/>
    <w:rsid w:val="00203512"/>
    <w:rsid w:val="002138BD"/>
    <w:rsid w:val="00216375"/>
    <w:rsid w:val="00224BEE"/>
    <w:rsid w:val="00235519"/>
    <w:rsid w:val="00235BBA"/>
    <w:rsid w:val="00236D91"/>
    <w:rsid w:val="00240B00"/>
    <w:rsid w:val="00242325"/>
    <w:rsid w:val="00243D49"/>
    <w:rsid w:val="002510F6"/>
    <w:rsid w:val="002527E3"/>
    <w:rsid w:val="00261FB7"/>
    <w:rsid w:val="0026435B"/>
    <w:rsid w:val="00264548"/>
    <w:rsid w:val="00267E25"/>
    <w:rsid w:val="00273430"/>
    <w:rsid w:val="00273B48"/>
    <w:rsid w:val="00280B32"/>
    <w:rsid w:val="00283CA0"/>
    <w:rsid w:val="00290CA8"/>
    <w:rsid w:val="002916BD"/>
    <w:rsid w:val="00296BA5"/>
    <w:rsid w:val="00297894"/>
    <w:rsid w:val="002979F6"/>
    <w:rsid w:val="002A59A2"/>
    <w:rsid w:val="002C1D73"/>
    <w:rsid w:val="002C7FF2"/>
    <w:rsid w:val="002D4A0E"/>
    <w:rsid w:val="002E1A82"/>
    <w:rsid w:val="002E46E7"/>
    <w:rsid w:val="002F1C94"/>
    <w:rsid w:val="002F1FB7"/>
    <w:rsid w:val="002F3A1B"/>
    <w:rsid w:val="00305272"/>
    <w:rsid w:val="003074E6"/>
    <w:rsid w:val="00322E50"/>
    <w:rsid w:val="00325A93"/>
    <w:rsid w:val="00326468"/>
    <w:rsid w:val="0033219E"/>
    <w:rsid w:val="00332F6A"/>
    <w:rsid w:val="00334992"/>
    <w:rsid w:val="0036155F"/>
    <w:rsid w:val="00371119"/>
    <w:rsid w:val="003746FF"/>
    <w:rsid w:val="00380831"/>
    <w:rsid w:val="00386F2D"/>
    <w:rsid w:val="003A6AD5"/>
    <w:rsid w:val="003D7871"/>
    <w:rsid w:val="003E0993"/>
    <w:rsid w:val="003E4B66"/>
    <w:rsid w:val="003F1546"/>
    <w:rsid w:val="003F1617"/>
    <w:rsid w:val="003F551E"/>
    <w:rsid w:val="00405CE2"/>
    <w:rsid w:val="00411DFB"/>
    <w:rsid w:val="004179E1"/>
    <w:rsid w:val="00432C5E"/>
    <w:rsid w:val="00434460"/>
    <w:rsid w:val="0043459A"/>
    <w:rsid w:val="00434E89"/>
    <w:rsid w:val="0043713D"/>
    <w:rsid w:val="0043742D"/>
    <w:rsid w:val="00442CF5"/>
    <w:rsid w:val="004525E8"/>
    <w:rsid w:val="004530EB"/>
    <w:rsid w:val="00453227"/>
    <w:rsid w:val="0045534B"/>
    <w:rsid w:val="0046113E"/>
    <w:rsid w:val="00461DD2"/>
    <w:rsid w:val="00471995"/>
    <w:rsid w:val="004751B3"/>
    <w:rsid w:val="00486A4D"/>
    <w:rsid w:val="00492651"/>
    <w:rsid w:val="004968F8"/>
    <w:rsid w:val="004A46E0"/>
    <w:rsid w:val="004A5803"/>
    <w:rsid w:val="004B058B"/>
    <w:rsid w:val="004B3FCD"/>
    <w:rsid w:val="004C71A6"/>
    <w:rsid w:val="004D011E"/>
    <w:rsid w:val="004D0406"/>
    <w:rsid w:val="004D477B"/>
    <w:rsid w:val="004D731B"/>
    <w:rsid w:val="004D783F"/>
    <w:rsid w:val="004E2B02"/>
    <w:rsid w:val="004F297A"/>
    <w:rsid w:val="004F459F"/>
    <w:rsid w:val="004F5A17"/>
    <w:rsid w:val="005004C0"/>
    <w:rsid w:val="005018CD"/>
    <w:rsid w:val="00513339"/>
    <w:rsid w:val="00522490"/>
    <w:rsid w:val="0052556D"/>
    <w:rsid w:val="00525603"/>
    <w:rsid w:val="0054793C"/>
    <w:rsid w:val="00564DDC"/>
    <w:rsid w:val="00574029"/>
    <w:rsid w:val="00581CC5"/>
    <w:rsid w:val="005844D0"/>
    <w:rsid w:val="00591F39"/>
    <w:rsid w:val="00592886"/>
    <w:rsid w:val="00595826"/>
    <w:rsid w:val="005A7045"/>
    <w:rsid w:val="005B07A2"/>
    <w:rsid w:val="005B3320"/>
    <w:rsid w:val="005B63DE"/>
    <w:rsid w:val="005B72D6"/>
    <w:rsid w:val="005C3E0E"/>
    <w:rsid w:val="005C4575"/>
    <w:rsid w:val="005C6065"/>
    <w:rsid w:val="005C708F"/>
    <w:rsid w:val="005D0834"/>
    <w:rsid w:val="005D69BA"/>
    <w:rsid w:val="005E1786"/>
    <w:rsid w:val="005F36F0"/>
    <w:rsid w:val="00606798"/>
    <w:rsid w:val="00607D43"/>
    <w:rsid w:val="006126B0"/>
    <w:rsid w:val="00613E6B"/>
    <w:rsid w:val="00616F43"/>
    <w:rsid w:val="00624535"/>
    <w:rsid w:val="0063136E"/>
    <w:rsid w:val="00640785"/>
    <w:rsid w:val="00644F2C"/>
    <w:rsid w:val="006477C2"/>
    <w:rsid w:val="00651817"/>
    <w:rsid w:val="00654D18"/>
    <w:rsid w:val="006570B3"/>
    <w:rsid w:val="00675B01"/>
    <w:rsid w:val="006864FB"/>
    <w:rsid w:val="00691A2A"/>
    <w:rsid w:val="006A0C98"/>
    <w:rsid w:val="006A27C3"/>
    <w:rsid w:val="006A5C3D"/>
    <w:rsid w:val="006B1303"/>
    <w:rsid w:val="006B1E2E"/>
    <w:rsid w:val="006B52C4"/>
    <w:rsid w:val="006C043C"/>
    <w:rsid w:val="006C4D86"/>
    <w:rsid w:val="006D112A"/>
    <w:rsid w:val="006D4489"/>
    <w:rsid w:val="006D4BF3"/>
    <w:rsid w:val="006E25B2"/>
    <w:rsid w:val="006F4232"/>
    <w:rsid w:val="006F6F2A"/>
    <w:rsid w:val="006F765F"/>
    <w:rsid w:val="00715192"/>
    <w:rsid w:val="00720F6B"/>
    <w:rsid w:val="007217DF"/>
    <w:rsid w:val="00723AF7"/>
    <w:rsid w:val="007353FF"/>
    <w:rsid w:val="00736363"/>
    <w:rsid w:val="007473CD"/>
    <w:rsid w:val="00751153"/>
    <w:rsid w:val="00754228"/>
    <w:rsid w:val="00777C63"/>
    <w:rsid w:val="00782C37"/>
    <w:rsid w:val="0078780D"/>
    <w:rsid w:val="00787EE1"/>
    <w:rsid w:val="00794725"/>
    <w:rsid w:val="007A357A"/>
    <w:rsid w:val="007A589C"/>
    <w:rsid w:val="007B7AAB"/>
    <w:rsid w:val="007D683B"/>
    <w:rsid w:val="007E3CB7"/>
    <w:rsid w:val="007E59EB"/>
    <w:rsid w:val="007F501A"/>
    <w:rsid w:val="00801A9B"/>
    <w:rsid w:val="00812D93"/>
    <w:rsid w:val="00812F18"/>
    <w:rsid w:val="008146CF"/>
    <w:rsid w:val="008174A1"/>
    <w:rsid w:val="00820463"/>
    <w:rsid w:val="00822C46"/>
    <w:rsid w:val="00823727"/>
    <w:rsid w:val="00824A16"/>
    <w:rsid w:val="008402EA"/>
    <w:rsid w:val="00844461"/>
    <w:rsid w:val="00846BC1"/>
    <w:rsid w:val="00857FAF"/>
    <w:rsid w:val="008617FC"/>
    <w:rsid w:val="00867B58"/>
    <w:rsid w:val="00870AF5"/>
    <w:rsid w:val="008744C9"/>
    <w:rsid w:val="00876683"/>
    <w:rsid w:val="008835E6"/>
    <w:rsid w:val="00887760"/>
    <w:rsid w:val="00890298"/>
    <w:rsid w:val="008940D5"/>
    <w:rsid w:val="008A0D09"/>
    <w:rsid w:val="008B286C"/>
    <w:rsid w:val="008C7FBD"/>
    <w:rsid w:val="008D2AA1"/>
    <w:rsid w:val="008E0FA5"/>
    <w:rsid w:val="008E44CF"/>
    <w:rsid w:val="008E6393"/>
    <w:rsid w:val="008F00C1"/>
    <w:rsid w:val="008F2097"/>
    <w:rsid w:val="008F24E1"/>
    <w:rsid w:val="008F7940"/>
    <w:rsid w:val="0090381B"/>
    <w:rsid w:val="00911BAF"/>
    <w:rsid w:val="0091309C"/>
    <w:rsid w:val="009217C8"/>
    <w:rsid w:val="00923E92"/>
    <w:rsid w:val="00924C72"/>
    <w:rsid w:val="0092662C"/>
    <w:rsid w:val="00931555"/>
    <w:rsid w:val="009350BB"/>
    <w:rsid w:val="00945715"/>
    <w:rsid w:val="009467D3"/>
    <w:rsid w:val="00960C8B"/>
    <w:rsid w:val="00981B64"/>
    <w:rsid w:val="00987F77"/>
    <w:rsid w:val="00991C13"/>
    <w:rsid w:val="00992DD6"/>
    <w:rsid w:val="0099469A"/>
    <w:rsid w:val="009A1541"/>
    <w:rsid w:val="009A40A2"/>
    <w:rsid w:val="009A46F2"/>
    <w:rsid w:val="009A612D"/>
    <w:rsid w:val="009C392F"/>
    <w:rsid w:val="009E21AA"/>
    <w:rsid w:val="009E5FC5"/>
    <w:rsid w:val="009F26F4"/>
    <w:rsid w:val="009F59D3"/>
    <w:rsid w:val="009F5A58"/>
    <w:rsid w:val="00A01BE8"/>
    <w:rsid w:val="00A06686"/>
    <w:rsid w:val="00A119DF"/>
    <w:rsid w:val="00A41DE9"/>
    <w:rsid w:val="00A5114A"/>
    <w:rsid w:val="00A56409"/>
    <w:rsid w:val="00A606E6"/>
    <w:rsid w:val="00A70D7C"/>
    <w:rsid w:val="00A9171E"/>
    <w:rsid w:val="00A94C2B"/>
    <w:rsid w:val="00A9588A"/>
    <w:rsid w:val="00AA2DA5"/>
    <w:rsid w:val="00AB1B70"/>
    <w:rsid w:val="00AB59C4"/>
    <w:rsid w:val="00AD43DE"/>
    <w:rsid w:val="00AD636B"/>
    <w:rsid w:val="00AE22AE"/>
    <w:rsid w:val="00AE5880"/>
    <w:rsid w:val="00AF39B9"/>
    <w:rsid w:val="00AF6012"/>
    <w:rsid w:val="00AF723B"/>
    <w:rsid w:val="00B13F06"/>
    <w:rsid w:val="00B172F5"/>
    <w:rsid w:val="00B17A99"/>
    <w:rsid w:val="00B22BEA"/>
    <w:rsid w:val="00B34AC7"/>
    <w:rsid w:val="00B458EB"/>
    <w:rsid w:val="00B47BA2"/>
    <w:rsid w:val="00B47E2D"/>
    <w:rsid w:val="00B50044"/>
    <w:rsid w:val="00B561EF"/>
    <w:rsid w:val="00B63B24"/>
    <w:rsid w:val="00B71A43"/>
    <w:rsid w:val="00B7298D"/>
    <w:rsid w:val="00B77EA4"/>
    <w:rsid w:val="00B87EF5"/>
    <w:rsid w:val="00B905F5"/>
    <w:rsid w:val="00BA05A2"/>
    <w:rsid w:val="00BA6B01"/>
    <w:rsid w:val="00BB2D36"/>
    <w:rsid w:val="00BC5417"/>
    <w:rsid w:val="00BC5B79"/>
    <w:rsid w:val="00BD27C3"/>
    <w:rsid w:val="00BD6D2E"/>
    <w:rsid w:val="00BE1BF8"/>
    <w:rsid w:val="00BE46FC"/>
    <w:rsid w:val="00C01143"/>
    <w:rsid w:val="00C03A05"/>
    <w:rsid w:val="00C237A6"/>
    <w:rsid w:val="00C35B06"/>
    <w:rsid w:val="00C44142"/>
    <w:rsid w:val="00C55D6D"/>
    <w:rsid w:val="00C579E1"/>
    <w:rsid w:val="00C619B2"/>
    <w:rsid w:val="00C63247"/>
    <w:rsid w:val="00C76FF9"/>
    <w:rsid w:val="00C775DA"/>
    <w:rsid w:val="00C82277"/>
    <w:rsid w:val="00C84369"/>
    <w:rsid w:val="00CA30F0"/>
    <w:rsid w:val="00CB57C9"/>
    <w:rsid w:val="00CB64A0"/>
    <w:rsid w:val="00CB7C77"/>
    <w:rsid w:val="00CE2B7A"/>
    <w:rsid w:val="00CE33B7"/>
    <w:rsid w:val="00CE564D"/>
    <w:rsid w:val="00CF045A"/>
    <w:rsid w:val="00D01D26"/>
    <w:rsid w:val="00D0626B"/>
    <w:rsid w:val="00D07F4F"/>
    <w:rsid w:val="00D2001F"/>
    <w:rsid w:val="00D21816"/>
    <w:rsid w:val="00D24123"/>
    <w:rsid w:val="00D26751"/>
    <w:rsid w:val="00D3203F"/>
    <w:rsid w:val="00D33F0F"/>
    <w:rsid w:val="00D52B26"/>
    <w:rsid w:val="00D76C53"/>
    <w:rsid w:val="00D82C84"/>
    <w:rsid w:val="00D8368F"/>
    <w:rsid w:val="00D97353"/>
    <w:rsid w:val="00DA784F"/>
    <w:rsid w:val="00DD291C"/>
    <w:rsid w:val="00DF199D"/>
    <w:rsid w:val="00DF1D13"/>
    <w:rsid w:val="00E058D1"/>
    <w:rsid w:val="00E06184"/>
    <w:rsid w:val="00E10FF8"/>
    <w:rsid w:val="00E145E9"/>
    <w:rsid w:val="00E17E47"/>
    <w:rsid w:val="00E17F62"/>
    <w:rsid w:val="00E27D2F"/>
    <w:rsid w:val="00E32902"/>
    <w:rsid w:val="00E34626"/>
    <w:rsid w:val="00E47131"/>
    <w:rsid w:val="00E61B8D"/>
    <w:rsid w:val="00E64B8C"/>
    <w:rsid w:val="00E64D4A"/>
    <w:rsid w:val="00E75C4B"/>
    <w:rsid w:val="00E8057D"/>
    <w:rsid w:val="00E87E98"/>
    <w:rsid w:val="00E90C88"/>
    <w:rsid w:val="00E9193F"/>
    <w:rsid w:val="00E92B14"/>
    <w:rsid w:val="00E96AE6"/>
    <w:rsid w:val="00EA00F3"/>
    <w:rsid w:val="00EA04C1"/>
    <w:rsid w:val="00EA4B9B"/>
    <w:rsid w:val="00EB4335"/>
    <w:rsid w:val="00EB43CB"/>
    <w:rsid w:val="00ED4DCD"/>
    <w:rsid w:val="00EF4042"/>
    <w:rsid w:val="00F047E8"/>
    <w:rsid w:val="00F053F9"/>
    <w:rsid w:val="00F14705"/>
    <w:rsid w:val="00F31413"/>
    <w:rsid w:val="00F35B13"/>
    <w:rsid w:val="00F43411"/>
    <w:rsid w:val="00F43D11"/>
    <w:rsid w:val="00F5228B"/>
    <w:rsid w:val="00F605AF"/>
    <w:rsid w:val="00F75011"/>
    <w:rsid w:val="00F76805"/>
    <w:rsid w:val="00F8195A"/>
    <w:rsid w:val="00F83169"/>
    <w:rsid w:val="00F904B7"/>
    <w:rsid w:val="00FA3FCF"/>
    <w:rsid w:val="00FA667B"/>
    <w:rsid w:val="00FA6F76"/>
    <w:rsid w:val="00FB0D4A"/>
    <w:rsid w:val="00FB6F22"/>
    <w:rsid w:val="00FD1AE9"/>
    <w:rsid w:val="00FD2708"/>
    <w:rsid w:val="00FE6CBE"/>
    <w:rsid w:val="00FF0A27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3F4"/>
  <w15:docId w15:val="{55636059-6CDB-4FC8-83F1-669464D1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83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11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C7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emEspaamento">
    <w:name w:val="No Spacing"/>
    <w:uiPriority w:val="1"/>
    <w:qFormat/>
    <w:rsid w:val="005C70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E33B7"/>
    <w:pPr>
      <w:ind w:left="720"/>
      <w:contextualSpacing/>
    </w:pPr>
  </w:style>
  <w:style w:type="paragraph" w:customStyle="1" w:styleId="yiv9283984979western">
    <w:name w:val="yiv9283984979western"/>
    <w:basedOn w:val="Normal"/>
    <w:rsid w:val="00C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E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C03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03A05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C03A0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4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6E7"/>
  </w:style>
  <w:style w:type="paragraph" w:styleId="Rodap">
    <w:name w:val="footer"/>
    <w:basedOn w:val="Normal"/>
    <w:link w:val="RodapChar"/>
    <w:uiPriority w:val="99"/>
    <w:unhideWhenUsed/>
    <w:rsid w:val="002E4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6E7"/>
  </w:style>
  <w:style w:type="character" w:styleId="Refdecomentrio">
    <w:name w:val="annotation reference"/>
    <w:basedOn w:val="Fontepargpadro"/>
    <w:uiPriority w:val="99"/>
    <w:semiHidden/>
    <w:unhideWhenUsed/>
    <w:rsid w:val="006D112A"/>
    <w:rPr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11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F601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F601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F6012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83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andard">
    <w:name w:val="Standard"/>
    <w:rsid w:val="00183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1835CB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18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83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835C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835CB"/>
  </w:style>
  <w:style w:type="character" w:styleId="Hyperlink">
    <w:name w:val="Hyperlink"/>
    <w:basedOn w:val="Fontepargpadro"/>
    <w:uiPriority w:val="99"/>
    <w:unhideWhenUsed/>
    <w:rsid w:val="001835CB"/>
    <w:rPr>
      <w:color w:val="0563C1" w:themeColor="hyperlink"/>
      <w:u w:val="single"/>
    </w:rPr>
  </w:style>
  <w:style w:type="character" w:customStyle="1" w:styleId="apple-style-span">
    <w:name w:val="apple-style-span"/>
    <w:basedOn w:val="Fontepargpadro"/>
    <w:rsid w:val="001835CB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835CB"/>
    <w:pPr>
      <w:outlineLvl w:val="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35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35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35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35CB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0B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vistas.ufrj.br/index.php/ae/article/view/8993/7169%20Acessado%20em%2020/01/202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08DF-86EC-4A26-99D5-C666D191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1267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e Cultura</dc:creator>
  <cp:lastModifiedBy>MARCEL SANTIAGO SOARES</cp:lastModifiedBy>
  <cp:revision>4</cp:revision>
  <dcterms:created xsi:type="dcterms:W3CDTF">2023-04-26T01:14:00Z</dcterms:created>
  <dcterms:modified xsi:type="dcterms:W3CDTF">2023-04-26T01:29:00Z</dcterms:modified>
</cp:coreProperties>
</file>