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06B" w:rsidRPr="00716054" w:rsidRDefault="00950FEC" w:rsidP="00131E57">
      <w:pPr>
        <w:spacing w:after="0" w:line="360" w:lineRule="auto"/>
        <w:jc w:val="center"/>
        <w:rPr>
          <w:rFonts w:ascii="Times New Roman" w:hAnsi="Times New Roman"/>
          <w:b/>
          <w:sz w:val="24"/>
          <w:szCs w:val="24"/>
        </w:rPr>
      </w:pPr>
      <w:bookmarkStart w:id="0" w:name="_Toc484048902"/>
      <w:r>
        <w:rPr>
          <w:rFonts w:ascii="Times New Roman" w:hAnsi="Times New Roman"/>
          <w:b/>
          <w:sz w:val="24"/>
          <w:szCs w:val="24"/>
        </w:rPr>
        <w:t xml:space="preserve">A GRANDE SECA E SEUS </w:t>
      </w:r>
      <w:r w:rsidR="00CC306B" w:rsidRPr="00716054">
        <w:rPr>
          <w:rFonts w:ascii="Times New Roman" w:hAnsi="Times New Roman"/>
          <w:b/>
          <w:sz w:val="24"/>
          <w:szCs w:val="24"/>
        </w:rPr>
        <w:t xml:space="preserve">EFEITOS </w:t>
      </w:r>
      <w:r>
        <w:rPr>
          <w:rFonts w:ascii="Times New Roman" w:hAnsi="Times New Roman"/>
          <w:b/>
          <w:sz w:val="24"/>
          <w:szCs w:val="24"/>
        </w:rPr>
        <w:t xml:space="preserve">NA PRODUÇÃO AGROPECUÁRIA </w:t>
      </w:r>
      <w:r w:rsidR="00CC306B" w:rsidRPr="00716054">
        <w:rPr>
          <w:rFonts w:ascii="Times New Roman" w:hAnsi="Times New Roman"/>
          <w:b/>
          <w:sz w:val="24"/>
          <w:szCs w:val="24"/>
        </w:rPr>
        <w:t>DO RIO GRANDE DO NORTE (2012-2016)</w:t>
      </w:r>
    </w:p>
    <w:p w:rsidR="00CC306B" w:rsidRDefault="00CC306B" w:rsidP="00131E57">
      <w:pPr>
        <w:spacing w:after="0" w:line="240" w:lineRule="auto"/>
        <w:jc w:val="both"/>
        <w:rPr>
          <w:rFonts w:ascii="Times New Roman" w:hAnsi="Times New Roman"/>
          <w:b/>
          <w:sz w:val="24"/>
          <w:szCs w:val="24"/>
        </w:rPr>
      </w:pPr>
    </w:p>
    <w:p w:rsidR="00131E57" w:rsidRDefault="00131E57" w:rsidP="00131E57">
      <w:pPr>
        <w:spacing w:after="0" w:line="240" w:lineRule="auto"/>
        <w:jc w:val="both"/>
        <w:rPr>
          <w:rFonts w:ascii="Times New Roman" w:hAnsi="Times New Roman"/>
          <w:b/>
          <w:sz w:val="24"/>
          <w:szCs w:val="24"/>
        </w:rPr>
      </w:pPr>
    </w:p>
    <w:p w:rsidR="00CC306B" w:rsidRPr="00131E57" w:rsidRDefault="00CC306B" w:rsidP="00131E57">
      <w:pPr>
        <w:spacing w:after="0" w:line="240" w:lineRule="auto"/>
        <w:jc w:val="center"/>
        <w:rPr>
          <w:rFonts w:ascii="Times New Roman" w:hAnsi="Times New Roman"/>
          <w:b/>
          <w:sz w:val="24"/>
          <w:szCs w:val="24"/>
        </w:rPr>
      </w:pPr>
      <w:r w:rsidRPr="00131E57">
        <w:rPr>
          <w:rFonts w:ascii="Times New Roman" w:hAnsi="Times New Roman"/>
          <w:b/>
          <w:sz w:val="24"/>
          <w:szCs w:val="24"/>
        </w:rPr>
        <w:t>Érika Miranda de Souza</w:t>
      </w:r>
    </w:p>
    <w:p w:rsidR="00131E57" w:rsidRDefault="00131E57" w:rsidP="00131E57">
      <w:pPr>
        <w:spacing w:after="0" w:line="240" w:lineRule="auto"/>
        <w:jc w:val="center"/>
        <w:rPr>
          <w:rFonts w:ascii="Times New Roman" w:hAnsi="Times New Roman"/>
          <w:sz w:val="24"/>
          <w:szCs w:val="24"/>
        </w:rPr>
      </w:pPr>
      <w:r w:rsidRPr="00131E57">
        <w:rPr>
          <w:rFonts w:ascii="Times New Roman" w:hAnsi="Times New Roman"/>
          <w:sz w:val="24"/>
          <w:szCs w:val="24"/>
        </w:rPr>
        <w:t>Economista graduada pela Universidade do Estado do Rio Grande do Norte (UERN/Campus de Assú).</w:t>
      </w:r>
      <w:r>
        <w:rPr>
          <w:rFonts w:ascii="Times New Roman" w:hAnsi="Times New Roman"/>
          <w:sz w:val="24"/>
          <w:szCs w:val="24"/>
        </w:rPr>
        <w:t xml:space="preserve"> E-mail: </w:t>
      </w:r>
      <w:hyperlink r:id="rId9" w:history="1">
        <w:r w:rsidRPr="009E40A4">
          <w:rPr>
            <w:rStyle w:val="Hyperlink"/>
            <w:rFonts w:ascii="Times New Roman" w:hAnsi="Times New Roman"/>
            <w:sz w:val="24"/>
            <w:szCs w:val="24"/>
          </w:rPr>
          <w:t>hericalive@hotmail.com</w:t>
        </w:r>
      </w:hyperlink>
      <w:r>
        <w:rPr>
          <w:rFonts w:ascii="Times New Roman" w:hAnsi="Times New Roman"/>
          <w:sz w:val="24"/>
          <w:szCs w:val="24"/>
        </w:rPr>
        <w:t>.</w:t>
      </w:r>
    </w:p>
    <w:p w:rsidR="00131E57" w:rsidRPr="00131E57" w:rsidRDefault="00131E57" w:rsidP="00131E57">
      <w:pPr>
        <w:spacing w:after="0" w:line="240" w:lineRule="auto"/>
        <w:jc w:val="center"/>
        <w:rPr>
          <w:rFonts w:ascii="Times New Roman" w:hAnsi="Times New Roman"/>
          <w:strike/>
          <w:sz w:val="24"/>
          <w:szCs w:val="24"/>
        </w:rPr>
      </w:pPr>
    </w:p>
    <w:p w:rsidR="00131E57" w:rsidRPr="00716054" w:rsidRDefault="00131E57" w:rsidP="00131E57">
      <w:pPr>
        <w:spacing w:after="0" w:line="240" w:lineRule="auto"/>
        <w:jc w:val="right"/>
        <w:rPr>
          <w:rFonts w:ascii="Times New Roman" w:hAnsi="Times New Roman"/>
          <w:sz w:val="24"/>
          <w:szCs w:val="24"/>
        </w:rPr>
      </w:pPr>
    </w:p>
    <w:p w:rsidR="00CC306B" w:rsidRPr="00131E57" w:rsidRDefault="00CC306B" w:rsidP="00131E57">
      <w:pPr>
        <w:spacing w:after="0" w:line="240" w:lineRule="auto"/>
        <w:jc w:val="center"/>
        <w:rPr>
          <w:rFonts w:ascii="Times New Roman" w:hAnsi="Times New Roman"/>
          <w:b/>
          <w:sz w:val="24"/>
          <w:szCs w:val="24"/>
        </w:rPr>
      </w:pPr>
      <w:proofErr w:type="spellStart"/>
      <w:r w:rsidRPr="00131E57">
        <w:rPr>
          <w:rFonts w:ascii="Times New Roman" w:hAnsi="Times New Roman"/>
          <w:b/>
          <w:sz w:val="24"/>
          <w:szCs w:val="24"/>
        </w:rPr>
        <w:t>Joacir</w:t>
      </w:r>
      <w:proofErr w:type="spellEnd"/>
      <w:r w:rsidRPr="00131E57">
        <w:rPr>
          <w:rFonts w:ascii="Times New Roman" w:hAnsi="Times New Roman"/>
          <w:b/>
          <w:sz w:val="24"/>
          <w:szCs w:val="24"/>
        </w:rPr>
        <w:t xml:space="preserve"> Rufino de Aquino</w:t>
      </w:r>
    </w:p>
    <w:p w:rsidR="00131E57" w:rsidRPr="00131E57" w:rsidRDefault="00131E57" w:rsidP="00131E57">
      <w:pPr>
        <w:spacing w:after="0" w:line="240" w:lineRule="auto"/>
        <w:jc w:val="center"/>
        <w:rPr>
          <w:rFonts w:ascii="Times New Roman" w:hAnsi="Times New Roman"/>
          <w:sz w:val="24"/>
          <w:szCs w:val="24"/>
        </w:rPr>
      </w:pPr>
      <w:r w:rsidRPr="00131E57">
        <w:rPr>
          <w:rFonts w:ascii="Times New Roman" w:hAnsi="Times New Roman"/>
          <w:sz w:val="24"/>
          <w:szCs w:val="24"/>
        </w:rPr>
        <w:t>Economista. Mestre em Economia Rural e Regional (UFCG). Professor Adjunto IV do Curso de Economia da Universidade do Estado do Rio Grande do Norte (UERN/Campus de Assú). E-</w:t>
      </w:r>
      <w:r>
        <w:rPr>
          <w:rFonts w:ascii="Times New Roman" w:hAnsi="Times New Roman"/>
          <w:sz w:val="24"/>
          <w:szCs w:val="24"/>
        </w:rPr>
        <w:t xml:space="preserve">mail: </w:t>
      </w:r>
      <w:hyperlink r:id="rId10" w:history="1">
        <w:r w:rsidRPr="009E40A4">
          <w:rPr>
            <w:rStyle w:val="Hyperlink"/>
            <w:rFonts w:ascii="Times New Roman" w:hAnsi="Times New Roman"/>
            <w:sz w:val="24"/>
            <w:szCs w:val="24"/>
          </w:rPr>
          <w:t>joaciraquino@yahoo.com.br</w:t>
        </w:r>
      </w:hyperlink>
      <w:r>
        <w:rPr>
          <w:rFonts w:ascii="Times New Roman" w:hAnsi="Times New Roman"/>
          <w:sz w:val="24"/>
          <w:szCs w:val="24"/>
        </w:rPr>
        <w:t>.</w:t>
      </w:r>
    </w:p>
    <w:p w:rsidR="00CC306B" w:rsidRDefault="00CC306B" w:rsidP="00131E57">
      <w:pPr>
        <w:tabs>
          <w:tab w:val="left" w:pos="2437"/>
        </w:tabs>
        <w:spacing w:after="0" w:line="240" w:lineRule="auto"/>
        <w:jc w:val="both"/>
        <w:rPr>
          <w:rFonts w:ascii="Times New Roman" w:hAnsi="Times New Roman"/>
          <w:sz w:val="24"/>
          <w:szCs w:val="24"/>
        </w:rPr>
      </w:pPr>
    </w:p>
    <w:p w:rsidR="005068B2" w:rsidRDefault="005068B2" w:rsidP="00131E57">
      <w:pPr>
        <w:spacing w:after="0" w:line="240" w:lineRule="auto"/>
        <w:jc w:val="both"/>
        <w:rPr>
          <w:rFonts w:ascii="Times New Roman" w:hAnsi="Times New Roman"/>
          <w:b/>
          <w:sz w:val="24"/>
          <w:szCs w:val="24"/>
        </w:rPr>
      </w:pPr>
    </w:p>
    <w:p w:rsidR="00CC306B" w:rsidRPr="00716054" w:rsidRDefault="00CC306B" w:rsidP="00131E57">
      <w:pPr>
        <w:spacing w:after="0" w:line="240" w:lineRule="auto"/>
        <w:jc w:val="both"/>
        <w:rPr>
          <w:rFonts w:ascii="Times New Roman" w:hAnsi="Times New Roman"/>
          <w:b/>
          <w:sz w:val="24"/>
          <w:szCs w:val="24"/>
        </w:rPr>
      </w:pPr>
      <w:r w:rsidRPr="00716054">
        <w:rPr>
          <w:rFonts w:ascii="Times New Roman" w:hAnsi="Times New Roman"/>
          <w:b/>
          <w:sz w:val="24"/>
          <w:szCs w:val="24"/>
        </w:rPr>
        <w:t>RESUMO</w:t>
      </w:r>
    </w:p>
    <w:p w:rsidR="00CC306B" w:rsidRDefault="00CC306B" w:rsidP="00131E57">
      <w:pPr>
        <w:spacing w:after="0" w:line="240" w:lineRule="auto"/>
        <w:jc w:val="both"/>
        <w:rPr>
          <w:rFonts w:ascii="Times New Roman" w:hAnsi="Times New Roman"/>
          <w:sz w:val="24"/>
          <w:szCs w:val="24"/>
        </w:rPr>
      </w:pPr>
      <w:r w:rsidRPr="00716054">
        <w:rPr>
          <w:rFonts w:ascii="Times New Roman" w:hAnsi="Times New Roman"/>
          <w:sz w:val="24"/>
          <w:szCs w:val="24"/>
        </w:rPr>
        <w:t xml:space="preserve">O objetivo do presente artigo é fazer um breve balanço da grande seca ocorrida no período de 2012 a 2016 no Rio Grande do Norte (RN) e estudar os seus efeitos na agropecuária estadual. Para tanto, além da revisão da bibliografia disponível sobre o tema, utilizou-se dados secundários de levantamentos da produção agrícola e pecuária realizados pelo IBGE. Ao longo da análise, constata-se que as atividades do setor primário norte-rio-grandense foram abaladas significativamente pela escassez hídrica verificada nos anos de seca. Contudo, a estiagem prolongada atingiu com graus </w:t>
      </w:r>
      <w:proofErr w:type="gramStart"/>
      <w:r w:rsidRPr="00716054">
        <w:rPr>
          <w:rFonts w:ascii="Times New Roman" w:hAnsi="Times New Roman"/>
          <w:sz w:val="24"/>
          <w:szCs w:val="24"/>
        </w:rPr>
        <w:t>diferenciados</w:t>
      </w:r>
      <w:proofErr w:type="gramEnd"/>
      <w:r w:rsidRPr="00716054">
        <w:rPr>
          <w:rFonts w:ascii="Times New Roman" w:hAnsi="Times New Roman"/>
          <w:sz w:val="24"/>
          <w:szCs w:val="24"/>
        </w:rPr>
        <w:t xml:space="preserve"> os segmentos rurais, afetando de forma mais intensa a produção de alimentos básicos desenvolvida por pequenos produtores familiares em regime de sequeiro, e, em menor proporção, as atividades capitalizadas (cana-de-açúcar, fruticultura irrigada e pecuária intensiva) desenvolvidas por médios e grandes produtores nas áreas de solos mais férteis do campo potiguar.</w:t>
      </w:r>
    </w:p>
    <w:p w:rsidR="00CC306B" w:rsidRPr="00716054" w:rsidRDefault="00CC306B" w:rsidP="00131E57">
      <w:pPr>
        <w:spacing w:after="0" w:line="240" w:lineRule="auto"/>
        <w:jc w:val="both"/>
        <w:rPr>
          <w:rFonts w:ascii="Times New Roman" w:hAnsi="Times New Roman"/>
          <w:sz w:val="24"/>
          <w:szCs w:val="24"/>
        </w:rPr>
      </w:pPr>
      <w:r w:rsidRPr="00716054">
        <w:rPr>
          <w:rFonts w:ascii="Times New Roman" w:hAnsi="Times New Roman"/>
          <w:b/>
          <w:sz w:val="24"/>
          <w:szCs w:val="24"/>
        </w:rPr>
        <w:t xml:space="preserve">Palavras-chave: </w:t>
      </w:r>
      <w:r w:rsidRPr="00716054">
        <w:rPr>
          <w:rFonts w:ascii="Times New Roman" w:hAnsi="Times New Roman"/>
          <w:sz w:val="24"/>
          <w:szCs w:val="24"/>
        </w:rPr>
        <w:t>Agropecuária; Produção de Alimentos; Seca; Semiárido.</w:t>
      </w:r>
    </w:p>
    <w:p w:rsidR="00CC306B" w:rsidRDefault="00CC306B" w:rsidP="00131E57">
      <w:pPr>
        <w:spacing w:after="0" w:line="240" w:lineRule="auto"/>
        <w:jc w:val="both"/>
        <w:rPr>
          <w:rFonts w:ascii="Times New Roman" w:hAnsi="Times New Roman"/>
          <w:sz w:val="24"/>
          <w:szCs w:val="24"/>
        </w:rPr>
      </w:pPr>
    </w:p>
    <w:p w:rsidR="00131E57" w:rsidRDefault="00131E57" w:rsidP="00131E57">
      <w:pPr>
        <w:spacing w:after="0" w:line="240" w:lineRule="auto"/>
        <w:jc w:val="both"/>
        <w:rPr>
          <w:rFonts w:ascii="Times New Roman" w:hAnsi="Times New Roman"/>
          <w:sz w:val="24"/>
          <w:szCs w:val="24"/>
        </w:rPr>
      </w:pPr>
    </w:p>
    <w:p w:rsidR="00131E57" w:rsidRDefault="00131E57" w:rsidP="00131E57">
      <w:pPr>
        <w:spacing w:after="0" w:line="240" w:lineRule="auto"/>
        <w:jc w:val="both"/>
        <w:rPr>
          <w:rFonts w:ascii="Times New Roman" w:hAnsi="Times New Roman"/>
          <w:sz w:val="24"/>
          <w:szCs w:val="24"/>
        </w:rPr>
      </w:pPr>
    </w:p>
    <w:p w:rsidR="00CC306B" w:rsidRDefault="00950FEC" w:rsidP="00131E57">
      <w:pPr>
        <w:spacing w:after="0" w:line="360" w:lineRule="auto"/>
        <w:jc w:val="both"/>
        <w:rPr>
          <w:rFonts w:ascii="Times New Roman" w:hAnsi="Times New Roman"/>
          <w:b/>
          <w:sz w:val="24"/>
          <w:szCs w:val="24"/>
          <w:lang w:val="en-US"/>
        </w:rPr>
      </w:pPr>
      <w:r w:rsidRPr="00950FEC">
        <w:rPr>
          <w:rFonts w:ascii="Times New Roman" w:hAnsi="Times New Roman"/>
          <w:b/>
          <w:sz w:val="24"/>
          <w:szCs w:val="24"/>
          <w:lang w:val="en-US"/>
        </w:rPr>
        <w:t>THE GREAT DROUGHT AND THEIR EFFECTS ON AGRICULTURAL PRODUCTION IN RIO GRANDE DO NORTE (2012-2016)</w:t>
      </w:r>
    </w:p>
    <w:p w:rsidR="00950FEC" w:rsidRPr="00716054" w:rsidRDefault="00950FEC" w:rsidP="00131E57">
      <w:pPr>
        <w:spacing w:after="0" w:line="240" w:lineRule="auto"/>
        <w:jc w:val="both"/>
        <w:rPr>
          <w:rFonts w:ascii="Times New Roman" w:hAnsi="Times New Roman"/>
          <w:sz w:val="24"/>
          <w:szCs w:val="24"/>
        </w:rPr>
      </w:pPr>
    </w:p>
    <w:p w:rsidR="00CC306B" w:rsidRPr="00716054" w:rsidRDefault="00CC306B" w:rsidP="00131E57">
      <w:pPr>
        <w:pStyle w:val="Pr-formataoHTML"/>
        <w:jc w:val="both"/>
        <w:rPr>
          <w:rFonts w:ascii="Times New Roman" w:hAnsi="Times New Roman" w:cs="Times New Roman"/>
          <w:sz w:val="24"/>
          <w:szCs w:val="24"/>
          <w:lang w:val="en-US"/>
        </w:rPr>
      </w:pPr>
      <w:r w:rsidRPr="00716054">
        <w:rPr>
          <w:rFonts w:ascii="Times New Roman" w:hAnsi="Times New Roman" w:cs="Times New Roman"/>
          <w:b/>
          <w:sz w:val="24"/>
          <w:szCs w:val="24"/>
          <w:lang w:val="en-US"/>
        </w:rPr>
        <w:t>ABSTRACT</w:t>
      </w:r>
    </w:p>
    <w:p w:rsidR="00CC306B" w:rsidRDefault="00CC306B" w:rsidP="00131E57">
      <w:pPr>
        <w:pStyle w:val="Pr-formataoHTML"/>
        <w:jc w:val="both"/>
        <w:rPr>
          <w:rFonts w:ascii="Times New Roman" w:hAnsi="Times New Roman" w:cs="Times New Roman"/>
          <w:sz w:val="24"/>
          <w:szCs w:val="24"/>
          <w:lang w:val="en-US"/>
        </w:rPr>
      </w:pPr>
      <w:r w:rsidRPr="00716054">
        <w:rPr>
          <w:rFonts w:ascii="Times New Roman" w:hAnsi="Times New Roman" w:cs="Times New Roman"/>
          <w:sz w:val="24"/>
          <w:szCs w:val="24"/>
          <w:lang w:val="en-US"/>
        </w:rPr>
        <w:t xml:space="preserve">The objective of the present article is to make a brief review of the great drought that occurred in the period from 2012 to 2016 in Rio Grande do Norte (RN) and to study its effects on state agriculture. Therefore, in addition to reviewing the literature available on the subject, secondary data from agricultural and livestock production surveys conducted by IBGE were used. Throughout the analysis, it is observed that the activities of the primary sector of the north-Rio Grande do </w:t>
      </w:r>
      <w:proofErr w:type="spellStart"/>
      <w:r w:rsidRPr="00716054">
        <w:rPr>
          <w:rFonts w:ascii="Times New Roman" w:hAnsi="Times New Roman" w:cs="Times New Roman"/>
          <w:sz w:val="24"/>
          <w:szCs w:val="24"/>
          <w:lang w:val="en-US"/>
        </w:rPr>
        <w:t>Sul</w:t>
      </w:r>
      <w:proofErr w:type="spellEnd"/>
      <w:r w:rsidRPr="00716054">
        <w:rPr>
          <w:rFonts w:ascii="Times New Roman" w:hAnsi="Times New Roman" w:cs="Times New Roman"/>
          <w:sz w:val="24"/>
          <w:szCs w:val="24"/>
          <w:lang w:val="en-US"/>
        </w:rPr>
        <w:t xml:space="preserve"> were significantly affected by the water scarcity verified in the dry years. However, the prolonged drought affected the rural segments with different degrees, affecting more productively the production of basic foodstuffs developed by small family farmers in the </w:t>
      </w:r>
      <w:proofErr w:type="spellStart"/>
      <w:r w:rsidRPr="00716054">
        <w:rPr>
          <w:rFonts w:ascii="Times New Roman" w:hAnsi="Times New Roman" w:cs="Times New Roman"/>
          <w:sz w:val="24"/>
          <w:szCs w:val="24"/>
          <w:lang w:val="en-US"/>
        </w:rPr>
        <w:t>rainfed</w:t>
      </w:r>
      <w:proofErr w:type="spellEnd"/>
      <w:r w:rsidRPr="00716054">
        <w:rPr>
          <w:rFonts w:ascii="Times New Roman" w:hAnsi="Times New Roman" w:cs="Times New Roman"/>
          <w:sz w:val="24"/>
          <w:szCs w:val="24"/>
          <w:lang w:val="en-US"/>
        </w:rPr>
        <w:t xml:space="preserve"> regime and, to a lesser extent, the capitalized activities (sugar cane, irrigated and intensive livestock) developed by medium and large producers in the most fertile soils of the </w:t>
      </w:r>
      <w:proofErr w:type="spellStart"/>
      <w:r w:rsidRPr="00716054">
        <w:rPr>
          <w:rFonts w:ascii="Times New Roman" w:hAnsi="Times New Roman" w:cs="Times New Roman"/>
          <w:sz w:val="24"/>
          <w:szCs w:val="24"/>
          <w:lang w:val="en-US"/>
        </w:rPr>
        <w:t>potiguar</w:t>
      </w:r>
      <w:proofErr w:type="spellEnd"/>
      <w:r w:rsidRPr="00716054">
        <w:rPr>
          <w:rFonts w:ascii="Times New Roman" w:hAnsi="Times New Roman" w:cs="Times New Roman"/>
          <w:sz w:val="24"/>
          <w:szCs w:val="24"/>
          <w:lang w:val="en-US"/>
        </w:rPr>
        <w:t xml:space="preserve"> field.</w:t>
      </w:r>
    </w:p>
    <w:p w:rsidR="00CC306B" w:rsidRDefault="00CC306B" w:rsidP="00131E57">
      <w:pPr>
        <w:spacing w:after="0" w:line="240" w:lineRule="auto"/>
        <w:jc w:val="both"/>
        <w:rPr>
          <w:rFonts w:ascii="Times New Roman" w:hAnsi="Times New Roman"/>
          <w:sz w:val="24"/>
          <w:szCs w:val="24"/>
          <w:lang w:val="en-US"/>
        </w:rPr>
      </w:pPr>
      <w:r w:rsidRPr="00716054">
        <w:rPr>
          <w:rFonts w:ascii="Times New Roman" w:hAnsi="Times New Roman"/>
          <w:b/>
          <w:sz w:val="24"/>
          <w:szCs w:val="24"/>
          <w:lang w:val="en-US"/>
        </w:rPr>
        <w:t>Keywords:</w:t>
      </w:r>
      <w:r w:rsidRPr="00716054">
        <w:rPr>
          <w:rFonts w:ascii="Times New Roman" w:hAnsi="Times New Roman"/>
          <w:sz w:val="24"/>
          <w:szCs w:val="24"/>
          <w:lang w:val="en-US"/>
        </w:rPr>
        <w:t xml:space="preserve"> Agriculture; Food Production; Drought; Semiarid.</w:t>
      </w:r>
    </w:p>
    <w:p w:rsidR="00131E57" w:rsidRPr="00131E57" w:rsidRDefault="00131E57" w:rsidP="00131E57">
      <w:pPr>
        <w:spacing w:after="0" w:line="360" w:lineRule="auto"/>
        <w:jc w:val="both"/>
        <w:rPr>
          <w:rFonts w:ascii="Times New Roman" w:hAnsi="Times New Roman"/>
          <w:b/>
          <w:sz w:val="24"/>
          <w:szCs w:val="24"/>
          <w:lang w:val="en-US"/>
        </w:rPr>
      </w:pPr>
      <w:r w:rsidRPr="00131E57">
        <w:rPr>
          <w:rFonts w:ascii="Times New Roman" w:hAnsi="Times New Roman"/>
          <w:b/>
          <w:sz w:val="24"/>
          <w:szCs w:val="24"/>
          <w:lang w:val="en-US"/>
        </w:rPr>
        <w:lastRenderedPageBreak/>
        <w:t>LA GRAN SECA Y SUS EFECTOS EN LA PRODUCCIÓN AGROPECUARIA DEL RÍO GRANDE DEL NORTE (2012-2016)</w:t>
      </w:r>
    </w:p>
    <w:p w:rsidR="00131E57" w:rsidRDefault="00131E57" w:rsidP="00131E57">
      <w:pPr>
        <w:spacing w:after="0" w:line="240" w:lineRule="auto"/>
        <w:jc w:val="both"/>
        <w:rPr>
          <w:rFonts w:ascii="Times New Roman" w:hAnsi="Times New Roman"/>
          <w:sz w:val="24"/>
          <w:szCs w:val="24"/>
          <w:lang w:val="en-US"/>
        </w:rPr>
      </w:pPr>
    </w:p>
    <w:p w:rsidR="00131E57" w:rsidRPr="00131E57" w:rsidRDefault="00131E57" w:rsidP="00131E57">
      <w:pPr>
        <w:spacing w:after="0" w:line="240" w:lineRule="auto"/>
        <w:jc w:val="both"/>
        <w:rPr>
          <w:rFonts w:ascii="Times New Roman" w:hAnsi="Times New Roman"/>
          <w:b/>
          <w:sz w:val="24"/>
          <w:szCs w:val="24"/>
          <w:lang w:val="en-US"/>
        </w:rPr>
      </w:pPr>
      <w:r w:rsidRPr="00131E57">
        <w:rPr>
          <w:rFonts w:ascii="Times New Roman" w:hAnsi="Times New Roman"/>
          <w:b/>
          <w:sz w:val="24"/>
          <w:szCs w:val="24"/>
          <w:lang w:val="en-US"/>
        </w:rPr>
        <w:t>RESUMEN</w:t>
      </w:r>
    </w:p>
    <w:p w:rsidR="00131E57" w:rsidRDefault="00131E57" w:rsidP="00131E57">
      <w:pPr>
        <w:spacing w:after="0" w:line="240" w:lineRule="auto"/>
        <w:jc w:val="both"/>
        <w:rPr>
          <w:rFonts w:ascii="Times New Roman" w:hAnsi="Times New Roman"/>
          <w:sz w:val="24"/>
          <w:szCs w:val="24"/>
          <w:lang w:val="en-US"/>
        </w:rPr>
      </w:pPr>
      <w:r w:rsidRPr="00131E57">
        <w:rPr>
          <w:rFonts w:ascii="Times New Roman" w:hAnsi="Times New Roman"/>
          <w:sz w:val="24"/>
          <w:szCs w:val="24"/>
          <w:lang w:val="en-US"/>
        </w:rPr>
        <w:t xml:space="preserve">El </w:t>
      </w:r>
      <w:proofErr w:type="spellStart"/>
      <w:r w:rsidRPr="00131E57">
        <w:rPr>
          <w:rFonts w:ascii="Times New Roman" w:hAnsi="Times New Roman"/>
          <w:sz w:val="24"/>
          <w:szCs w:val="24"/>
          <w:lang w:val="en-US"/>
        </w:rPr>
        <w:t>objetivo</w:t>
      </w:r>
      <w:proofErr w:type="spellEnd"/>
      <w:r w:rsidRPr="00131E57">
        <w:rPr>
          <w:rFonts w:ascii="Times New Roman" w:hAnsi="Times New Roman"/>
          <w:sz w:val="24"/>
          <w:szCs w:val="24"/>
          <w:lang w:val="en-US"/>
        </w:rPr>
        <w:t xml:space="preserve"> del </w:t>
      </w:r>
      <w:proofErr w:type="spellStart"/>
      <w:r w:rsidRPr="00131E57">
        <w:rPr>
          <w:rFonts w:ascii="Times New Roman" w:hAnsi="Times New Roman"/>
          <w:sz w:val="24"/>
          <w:szCs w:val="24"/>
          <w:lang w:val="en-US"/>
        </w:rPr>
        <w:t>presente</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artículo</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hacer</w:t>
      </w:r>
      <w:proofErr w:type="spellEnd"/>
      <w:r w:rsidRPr="00131E57">
        <w:rPr>
          <w:rFonts w:ascii="Times New Roman" w:hAnsi="Times New Roman"/>
          <w:sz w:val="24"/>
          <w:szCs w:val="24"/>
          <w:lang w:val="en-US"/>
        </w:rPr>
        <w:t xml:space="preserve"> un breve balance de la gran </w:t>
      </w:r>
      <w:proofErr w:type="spellStart"/>
      <w:r w:rsidRPr="00131E57">
        <w:rPr>
          <w:rFonts w:ascii="Times New Roman" w:hAnsi="Times New Roman"/>
          <w:sz w:val="24"/>
          <w:szCs w:val="24"/>
          <w:lang w:val="en-US"/>
        </w:rPr>
        <w:t>sequía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ocurrida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el </w:t>
      </w:r>
      <w:proofErr w:type="spellStart"/>
      <w:r w:rsidRPr="00131E57">
        <w:rPr>
          <w:rFonts w:ascii="Times New Roman" w:hAnsi="Times New Roman"/>
          <w:sz w:val="24"/>
          <w:szCs w:val="24"/>
          <w:lang w:val="en-US"/>
        </w:rPr>
        <w:t>período</w:t>
      </w:r>
      <w:proofErr w:type="spellEnd"/>
      <w:r w:rsidRPr="00131E57">
        <w:rPr>
          <w:rFonts w:ascii="Times New Roman" w:hAnsi="Times New Roman"/>
          <w:sz w:val="24"/>
          <w:szCs w:val="24"/>
          <w:lang w:val="en-US"/>
        </w:rPr>
        <w:t xml:space="preserve"> de 2012 a 2016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Rio Grande do Norte (RN) y </w:t>
      </w:r>
      <w:proofErr w:type="spellStart"/>
      <w:r w:rsidRPr="00131E57">
        <w:rPr>
          <w:rFonts w:ascii="Times New Roman" w:hAnsi="Times New Roman"/>
          <w:sz w:val="24"/>
          <w:szCs w:val="24"/>
          <w:lang w:val="en-US"/>
        </w:rPr>
        <w:t>estudiar</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sus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efectos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la </w:t>
      </w:r>
      <w:proofErr w:type="spellStart"/>
      <w:r w:rsidRPr="00131E57">
        <w:rPr>
          <w:rFonts w:ascii="Times New Roman" w:hAnsi="Times New Roman"/>
          <w:sz w:val="24"/>
          <w:szCs w:val="24"/>
          <w:lang w:val="en-US"/>
        </w:rPr>
        <w:t>agropecuaria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estadual</w:t>
      </w:r>
      <w:proofErr w:type="spellEnd"/>
      <w:r w:rsidRPr="00131E57">
        <w:rPr>
          <w:rFonts w:ascii="Times New Roman" w:hAnsi="Times New Roman"/>
          <w:sz w:val="24"/>
          <w:szCs w:val="24"/>
          <w:lang w:val="en-US"/>
        </w:rPr>
        <w:t xml:space="preserve">. </w:t>
      </w:r>
      <w:proofErr w:type="gramStart"/>
      <w:r w:rsidRPr="00131E57">
        <w:rPr>
          <w:rFonts w:ascii="Times New Roman" w:hAnsi="Times New Roman"/>
          <w:sz w:val="24"/>
          <w:szCs w:val="24"/>
          <w:lang w:val="en-US"/>
        </w:rPr>
        <w:t xml:space="preserve">Para </w:t>
      </w:r>
      <w:proofErr w:type="spellStart"/>
      <w:r w:rsidRPr="00131E57">
        <w:rPr>
          <w:rFonts w:ascii="Times New Roman" w:hAnsi="Times New Roman"/>
          <w:sz w:val="24"/>
          <w:szCs w:val="24"/>
          <w:lang w:val="en-US"/>
        </w:rPr>
        <w:t>ello</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además</w:t>
      </w:r>
      <w:proofErr w:type="spellEnd"/>
      <w:r w:rsidRPr="00131E57">
        <w:rPr>
          <w:rFonts w:ascii="Times New Roman" w:hAnsi="Times New Roman"/>
          <w:sz w:val="24"/>
          <w:szCs w:val="24"/>
          <w:lang w:val="en-US"/>
        </w:rPr>
        <w:t xml:space="preserve"> de la </w:t>
      </w:r>
      <w:proofErr w:type="spellStart"/>
      <w:r w:rsidRPr="00131E57">
        <w:rPr>
          <w:rFonts w:ascii="Times New Roman" w:hAnsi="Times New Roman"/>
          <w:sz w:val="24"/>
          <w:szCs w:val="24"/>
          <w:lang w:val="en-US"/>
        </w:rPr>
        <w:t>revisión</w:t>
      </w:r>
      <w:proofErr w:type="spellEnd"/>
      <w:r w:rsidRPr="00131E57">
        <w:rPr>
          <w:rFonts w:ascii="Times New Roman" w:hAnsi="Times New Roman"/>
          <w:sz w:val="24"/>
          <w:szCs w:val="24"/>
          <w:lang w:val="en-US"/>
        </w:rPr>
        <w:t xml:space="preserve"> de la </w:t>
      </w:r>
      <w:proofErr w:type="spellStart"/>
      <w:r w:rsidRPr="00131E57">
        <w:rPr>
          <w:rFonts w:ascii="Times New Roman" w:hAnsi="Times New Roman"/>
          <w:sz w:val="24"/>
          <w:szCs w:val="24"/>
          <w:lang w:val="en-US"/>
        </w:rPr>
        <w:t>bibliografía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disponible</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sobre</w:t>
      </w:r>
      <w:proofErr w:type="spellEnd"/>
      <w:r w:rsidRPr="00131E57">
        <w:rPr>
          <w:rFonts w:ascii="Times New Roman" w:hAnsi="Times New Roman"/>
          <w:sz w:val="24"/>
          <w:szCs w:val="24"/>
          <w:lang w:val="en-US"/>
        </w:rPr>
        <w:t xml:space="preserve"> el </w:t>
      </w:r>
      <w:proofErr w:type="spellStart"/>
      <w:r w:rsidRPr="00131E57">
        <w:rPr>
          <w:rFonts w:ascii="Times New Roman" w:hAnsi="Times New Roman"/>
          <w:sz w:val="24"/>
          <w:szCs w:val="24"/>
          <w:lang w:val="en-US"/>
        </w:rPr>
        <w:t>tema</w:t>
      </w:r>
      <w:proofErr w:type="spellEnd"/>
      <w:r w:rsidRPr="00131E57">
        <w:rPr>
          <w:rFonts w:ascii="Times New Roman" w:hAnsi="Times New Roman"/>
          <w:sz w:val="24"/>
          <w:szCs w:val="24"/>
          <w:lang w:val="en-US"/>
        </w:rPr>
        <w:t xml:space="preserve">, se </w:t>
      </w:r>
      <w:proofErr w:type="spellStart"/>
      <w:r w:rsidRPr="00131E57">
        <w:rPr>
          <w:rFonts w:ascii="Times New Roman" w:hAnsi="Times New Roman"/>
          <w:sz w:val="24"/>
          <w:szCs w:val="24"/>
          <w:lang w:val="en-US"/>
        </w:rPr>
        <w:t>utilizaron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datos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secundarios</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levantamientos</w:t>
      </w:r>
      <w:proofErr w:type="spellEnd"/>
      <w:r w:rsidRPr="00131E57">
        <w:rPr>
          <w:rFonts w:ascii="Times New Roman" w:hAnsi="Times New Roman"/>
          <w:sz w:val="24"/>
          <w:szCs w:val="24"/>
          <w:lang w:val="en-US"/>
        </w:rPr>
        <w:t xml:space="preserve"> de la </w:t>
      </w:r>
      <w:proofErr w:type="spellStart"/>
      <w:r w:rsidRPr="00131E57">
        <w:rPr>
          <w:rFonts w:ascii="Times New Roman" w:hAnsi="Times New Roman"/>
          <w:sz w:val="24"/>
          <w:szCs w:val="24"/>
          <w:lang w:val="en-US"/>
        </w:rPr>
        <w:t>producción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agrícola</w:t>
      </w:r>
      <w:proofErr w:type="spellEnd"/>
      <w:r w:rsidRPr="00131E57">
        <w:rPr>
          <w:rFonts w:ascii="Times New Roman" w:hAnsi="Times New Roman"/>
          <w:sz w:val="24"/>
          <w:szCs w:val="24"/>
          <w:lang w:val="en-US"/>
        </w:rPr>
        <w:t xml:space="preserve"> y </w:t>
      </w:r>
      <w:proofErr w:type="spellStart"/>
      <w:r w:rsidRPr="00131E57">
        <w:rPr>
          <w:rFonts w:ascii="Times New Roman" w:hAnsi="Times New Roman"/>
          <w:sz w:val="24"/>
          <w:szCs w:val="24"/>
          <w:lang w:val="en-US"/>
        </w:rPr>
        <w:t>pecuaria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realizados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por</w:t>
      </w:r>
      <w:proofErr w:type="spellEnd"/>
      <w:r w:rsidRPr="00131E57">
        <w:rPr>
          <w:rFonts w:ascii="Times New Roman" w:hAnsi="Times New Roman"/>
          <w:sz w:val="24"/>
          <w:szCs w:val="24"/>
          <w:lang w:val="en-US"/>
        </w:rPr>
        <w:t xml:space="preserve"> el IBGE.</w:t>
      </w:r>
      <w:proofErr w:type="gramEnd"/>
      <w:r w:rsidRPr="00131E57">
        <w:rPr>
          <w:rFonts w:ascii="Times New Roman" w:hAnsi="Times New Roman"/>
          <w:sz w:val="24"/>
          <w:szCs w:val="24"/>
          <w:lang w:val="en-US"/>
        </w:rPr>
        <w:t xml:space="preserve"> A lo largo </w:t>
      </w:r>
      <w:proofErr w:type="gramStart"/>
      <w:r w:rsidRPr="00131E57">
        <w:rPr>
          <w:rFonts w:ascii="Times New Roman" w:hAnsi="Times New Roman"/>
          <w:sz w:val="24"/>
          <w:szCs w:val="24"/>
          <w:lang w:val="en-US"/>
        </w:rPr>
        <w:t>del</w:t>
      </w:r>
      <w:proofErr w:type="gram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análisis</w:t>
      </w:r>
      <w:proofErr w:type="spellEnd"/>
      <w:r w:rsidRPr="00131E57">
        <w:rPr>
          <w:rFonts w:ascii="Times New Roman" w:hAnsi="Times New Roman"/>
          <w:sz w:val="24"/>
          <w:szCs w:val="24"/>
          <w:lang w:val="en-US"/>
        </w:rPr>
        <w:t xml:space="preserve">, se </w:t>
      </w:r>
      <w:proofErr w:type="spellStart"/>
      <w:r w:rsidRPr="00131E57">
        <w:rPr>
          <w:rFonts w:ascii="Times New Roman" w:hAnsi="Times New Roman"/>
          <w:sz w:val="24"/>
          <w:szCs w:val="24"/>
          <w:lang w:val="en-US"/>
        </w:rPr>
        <w:t>constata</w:t>
      </w:r>
      <w:proofErr w:type="spellEnd"/>
      <w:r w:rsidRPr="00131E57">
        <w:rPr>
          <w:rFonts w:ascii="Times New Roman" w:hAnsi="Times New Roman"/>
          <w:sz w:val="24"/>
          <w:szCs w:val="24"/>
          <w:lang w:val="en-US"/>
        </w:rPr>
        <w:t xml:space="preserve"> que las </w:t>
      </w:r>
      <w:proofErr w:type="spellStart"/>
      <w:r w:rsidRPr="00131E57">
        <w:rPr>
          <w:rFonts w:ascii="Times New Roman" w:hAnsi="Times New Roman"/>
          <w:sz w:val="24"/>
          <w:szCs w:val="24"/>
          <w:lang w:val="en-US"/>
        </w:rPr>
        <w:t>actividades</w:t>
      </w:r>
      <w:proofErr w:type="spellEnd"/>
      <w:r w:rsidRPr="00131E57">
        <w:rPr>
          <w:rFonts w:ascii="Times New Roman" w:hAnsi="Times New Roman"/>
          <w:sz w:val="24"/>
          <w:szCs w:val="24"/>
          <w:lang w:val="en-US"/>
        </w:rPr>
        <w:t xml:space="preserve"> del sector </w:t>
      </w:r>
      <w:proofErr w:type="spellStart"/>
      <w:r w:rsidRPr="00131E57">
        <w:rPr>
          <w:rFonts w:ascii="Times New Roman" w:hAnsi="Times New Roman"/>
          <w:sz w:val="24"/>
          <w:szCs w:val="24"/>
          <w:lang w:val="en-US"/>
        </w:rPr>
        <w:t>primario</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norte-rio-grandense</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fueron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sacudidas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significativamente</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por</w:t>
      </w:r>
      <w:proofErr w:type="spellEnd"/>
      <w:r w:rsidRPr="00131E57">
        <w:rPr>
          <w:rFonts w:ascii="Times New Roman" w:hAnsi="Times New Roman"/>
          <w:sz w:val="24"/>
          <w:szCs w:val="24"/>
          <w:lang w:val="en-US"/>
        </w:rPr>
        <w:t xml:space="preserve"> la </w:t>
      </w:r>
      <w:proofErr w:type="spellStart"/>
      <w:r w:rsidRPr="00131E57">
        <w:rPr>
          <w:rFonts w:ascii="Times New Roman" w:hAnsi="Times New Roman"/>
          <w:sz w:val="24"/>
          <w:szCs w:val="24"/>
          <w:lang w:val="en-US"/>
        </w:rPr>
        <w:t>escasez</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hídrica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verificada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los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años</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sequía</w:t>
      </w:r>
      <w:proofErr w:type="spellEnd"/>
      <w:r w:rsidRPr="00131E57">
        <w:rPr>
          <w:rFonts w:ascii="Times New Roman" w:hAnsi="Times New Roman"/>
          <w:sz w:val="24"/>
          <w:szCs w:val="24"/>
          <w:lang w:val="en-US"/>
        </w:rPr>
        <w:t xml:space="preserve">. Sin embargo, la </w:t>
      </w:r>
      <w:proofErr w:type="spellStart"/>
      <w:r w:rsidRPr="00131E57">
        <w:rPr>
          <w:rFonts w:ascii="Times New Roman" w:hAnsi="Times New Roman"/>
          <w:sz w:val="24"/>
          <w:szCs w:val="24"/>
          <w:lang w:val="en-US"/>
        </w:rPr>
        <w:t>sequía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prolongada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alcanzó</w:t>
      </w:r>
      <w:proofErr w:type="spellEnd"/>
      <w:r w:rsidRPr="00131E57">
        <w:rPr>
          <w:rFonts w:ascii="Times New Roman" w:hAnsi="Times New Roman"/>
          <w:sz w:val="24"/>
          <w:szCs w:val="24"/>
          <w:lang w:val="en-US"/>
        </w:rPr>
        <w:t xml:space="preserve"> con </w:t>
      </w:r>
      <w:proofErr w:type="spellStart"/>
      <w:r w:rsidRPr="00131E57">
        <w:rPr>
          <w:rFonts w:ascii="Times New Roman" w:hAnsi="Times New Roman"/>
          <w:sz w:val="24"/>
          <w:szCs w:val="24"/>
          <w:lang w:val="en-US"/>
        </w:rPr>
        <w:t>grados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diferenciados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los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segmentos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rurales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afectando</w:t>
      </w:r>
      <w:proofErr w:type="spellEnd"/>
      <w:r w:rsidRPr="00131E57">
        <w:rPr>
          <w:rFonts w:ascii="Times New Roman" w:hAnsi="Times New Roman"/>
          <w:sz w:val="24"/>
          <w:szCs w:val="24"/>
          <w:lang w:val="en-US"/>
        </w:rPr>
        <w:t xml:space="preserve"> de forma </w:t>
      </w:r>
      <w:proofErr w:type="spellStart"/>
      <w:r w:rsidRPr="00131E57">
        <w:rPr>
          <w:rFonts w:ascii="Times New Roman" w:hAnsi="Times New Roman"/>
          <w:sz w:val="24"/>
          <w:szCs w:val="24"/>
          <w:lang w:val="en-US"/>
        </w:rPr>
        <w:t>más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intensa</w:t>
      </w:r>
      <w:proofErr w:type="spellEnd"/>
      <w:r w:rsidRPr="00131E57">
        <w:rPr>
          <w:rFonts w:ascii="Times New Roman" w:hAnsi="Times New Roman"/>
          <w:sz w:val="24"/>
          <w:szCs w:val="24"/>
          <w:lang w:val="en-US"/>
        </w:rPr>
        <w:t xml:space="preserve"> la </w:t>
      </w:r>
      <w:proofErr w:type="spellStart"/>
      <w:r w:rsidRPr="00131E57">
        <w:rPr>
          <w:rFonts w:ascii="Times New Roman" w:hAnsi="Times New Roman"/>
          <w:sz w:val="24"/>
          <w:szCs w:val="24"/>
          <w:lang w:val="en-US"/>
        </w:rPr>
        <w:t>producción</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alimentos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básicos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desarrollada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por</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pequeños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productores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familiares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régimen</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secano</w:t>
      </w:r>
      <w:proofErr w:type="spellEnd"/>
      <w:r w:rsidRPr="00131E57">
        <w:rPr>
          <w:rFonts w:ascii="Times New Roman" w:hAnsi="Times New Roman"/>
          <w:sz w:val="24"/>
          <w:szCs w:val="24"/>
          <w:lang w:val="en-US"/>
        </w:rPr>
        <w:t xml:space="preserve">, y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menor</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proporción</w:t>
      </w:r>
      <w:proofErr w:type="spellEnd"/>
      <w:r w:rsidRPr="00131E57">
        <w:rPr>
          <w:rFonts w:ascii="Times New Roman" w:hAnsi="Times New Roman"/>
          <w:sz w:val="24"/>
          <w:szCs w:val="24"/>
          <w:lang w:val="en-US"/>
        </w:rPr>
        <w:t xml:space="preserve">, las </w:t>
      </w:r>
      <w:proofErr w:type="spellStart"/>
      <w:r w:rsidRPr="00131E57">
        <w:rPr>
          <w:rFonts w:ascii="Times New Roman" w:hAnsi="Times New Roman"/>
          <w:sz w:val="24"/>
          <w:szCs w:val="24"/>
          <w:lang w:val="en-US"/>
        </w:rPr>
        <w:t>actividades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capitalizadas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caña</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azúcar</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fruticultura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irrigada</w:t>
      </w:r>
      <w:proofErr w:type="spellEnd"/>
      <w:r w:rsidRPr="00131E57">
        <w:rPr>
          <w:rFonts w:ascii="Times New Roman" w:hAnsi="Times New Roman"/>
          <w:sz w:val="24"/>
          <w:szCs w:val="24"/>
          <w:lang w:val="en-US"/>
        </w:rPr>
        <w:t xml:space="preserve"> y </w:t>
      </w:r>
      <w:proofErr w:type="spellStart"/>
      <w:r w:rsidRPr="00131E57">
        <w:rPr>
          <w:rFonts w:ascii="Times New Roman" w:hAnsi="Times New Roman"/>
          <w:sz w:val="24"/>
          <w:szCs w:val="24"/>
          <w:lang w:val="en-US"/>
        </w:rPr>
        <w:t>pecuaria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intensiva</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desarrolladas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por</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medios</w:t>
      </w:r>
      <w:proofErr w:type="spellEnd"/>
      <w:r w:rsidRPr="00131E57">
        <w:rPr>
          <w:rFonts w:ascii="Times New Roman" w:hAnsi="Times New Roman"/>
          <w:sz w:val="24"/>
          <w:szCs w:val="24"/>
          <w:lang w:val="en-US"/>
        </w:rPr>
        <w:t xml:space="preserve"> y </w:t>
      </w:r>
      <w:proofErr w:type="spellStart"/>
      <w:r w:rsidRPr="00131E57">
        <w:rPr>
          <w:rFonts w:ascii="Times New Roman" w:hAnsi="Times New Roman"/>
          <w:sz w:val="24"/>
          <w:szCs w:val="24"/>
          <w:lang w:val="en-US"/>
        </w:rPr>
        <w:t>grandes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productores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en</w:t>
      </w:r>
      <w:proofErr w:type="spellEnd"/>
      <w:r w:rsidRPr="00131E57">
        <w:rPr>
          <w:rFonts w:ascii="Times New Roman" w:hAnsi="Times New Roman"/>
          <w:sz w:val="24"/>
          <w:szCs w:val="24"/>
          <w:lang w:val="en-US"/>
        </w:rPr>
        <w:t xml:space="preserve"> las </w:t>
      </w:r>
      <w:proofErr w:type="spellStart"/>
      <w:r w:rsidRPr="00131E57">
        <w:rPr>
          <w:rFonts w:ascii="Times New Roman" w:hAnsi="Times New Roman"/>
          <w:sz w:val="24"/>
          <w:szCs w:val="24"/>
          <w:lang w:val="en-US"/>
        </w:rPr>
        <w:t>áreas</w:t>
      </w:r>
      <w:proofErr w:type="spellEnd"/>
      <w:r w:rsidRPr="00131E57">
        <w:rPr>
          <w:rFonts w:ascii="Times New Roman" w:hAnsi="Times New Roman"/>
          <w:sz w:val="24"/>
          <w:szCs w:val="24"/>
          <w:lang w:val="en-US"/>
        </w:rPr>
        <w:t xml:space="preserve"> de </w:t>
      </w:r>
      <w:proofErr w:type="spellStart"/>
      <w:r w:rsidRPr="00131E57">
        <w:rPr>
          <w:rFonts w:ascii="Times New Roman" w:hAnsi="Times New Roman"/>
          <w:sz w:val="24"/>
          <w:szCs w:val="24"/>
          <w:lang w:val="en-US"/>
        </w:rPr>
        <w:t>suelos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más</w:t>
      </w:r>
      <w:proofErr w:type="spellEnd"/>
      <w:r w:rsidRPr="00131E57">
        <w:rPr>
          <w:rFonts w:ascii="Times New Roman" w:hAnsi="Times New Roman"/>
          <w:sz w:val="24"/>
          <w:szCs w:val="24"/>
          <w:lang w:val="en-US"/>
        </w:rPr>
        <w:t xml:space="preserve"> </w:t>
      </w:r>
      <w:proofErr w:type="spellStart"/>
      <w:r w:rsidRPr="00131E57">
        <w:rPr>
          <w:rFonts w:ascii="Times New Roman" w:hAnsi="Times New Roman"/>
          <w:sz w:val="24"/>
          <w:szCs w:val="24"/>
          <w:lang w:val="en-US"/>
        </w:rPr>
        <w:t>fértiles</w:t>
      </w:r>
      <w:proofErr w:type="spellEnd"/>
      <w:r w:rsidRPr="00131E57">
        <w:rPr>
          <w:rFonts w:ascii="Times New Roman" w:hAnsi="Times New Roman"/>
          <w:sz w:val="24"/>
          <w:szCs w:val="24"/>
          <w:lang w:val="en-US"/>
        </w:rPr>
        <w:t xml:space="preserve"> del campo </w:t>
      </w:r>
      <w:proofErr w:type="spellStart"/>
      <w:r w:rsidRPr="00131E57">
        <w:rPr>
          <w:rFonts w:ascii="Times New Roman" w:hAnsi="Times New Roman"/>
          <w:sz w:val="24"/>
          <w:szCs w:val="24"/>
          <w:lang w:val="en-US"/>
        </w:rPr>
        <w:t>potiguar</w:t>
      </w:r>
      <w:proofErr w:type="spellEnd"/>
      <w:r w:rsidRPr="00131E57">
        <w:rPr>
          <w:rFonts w:ascii="Times New Roman" w:hAnsi="Times New Roman"/>
          <w:sz w:val="24"/>
          <w:szCs w:val="24"/>
          <w:lang w:val="en-US"/>
        </w:rPr>
        <w:t>.</w:t>
      </w:r>
    </w:p>
    <w:p w:rsidR="00131E57" w:rsidRPr="00716054" w:rsidRDefault="00131E57" w:rsidP="00131E57">
      <w:pPr>
        <w:spacing w:after="0" w:line="240" w:lineRule="auto"/>
        <w:jc w:val="both"/>
        <w:rPr>
          <w:rFonts w:ascii="Times New Roman" w:hAnsi="Times New Roman"/>
          <w:sz w:val="24"/>
          <w:szCs w:val="24"/>
          <w:lang w:val="en-US"/>
        </w:rPr>
      </w:pPr>
      <w:r w:rsidRPr="00131E57">
        <w:rPr>
          <w:rFonts w:ascii="Times New Roman" w:hAnsi="Times New Roman"/>
          <w:b/>
          <w:sz w:val="24"/>
          <w:szCs w:val="24"/>
          <w:lang w:val="en-US"/>
        </w:rPr>
        <w:t>Palabras clave</w:t>
      </w:r>
      <w:r>
        <w:rPr>
          <w:rFonts w:ascii="Times New Roman" w:hAnsi="Times New Roman"/>
          <w:sz w:val="24"/>
          <w:szCs w:val="24"/>
          <w:lang w:val="en-US"/>
        </w:rPr>
        <w:t xml:space="preserve">: </w:t>
      </w:r>
      <w:proofErr w:type="spellStart"/>
      <w:r>
        <w:rPr>
          <w:rFonts w:ascii="Times New Roman" w:hAnsi="Times New Roman"/>
          <w:sz w:val="24"/>
          <w:szCs w:val="24"/>
          <w:lang w:val="en-US"/>
        </w:rPr>
        <w:t>Agropecuaria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Producción</w:t>
      </w:r>
      <w:proofErr w:type="spellEnd"/>
      <w:r>
        <w:rPr>
          <w:rFonts w:ascii="Times New Roman" w:hAnsi="Times New Roman"/>
          <w:sz w:val="24"/>
          <w:szCs w:val="24"/>
          <w:lang w:val="en-US"/>
        </w:rPr>
        <w:t xml:space="preserve"> de Alimentos; </w:t>
      </w:r>
      <w:proofErr w:type="spellStart"/>
      <w:r>
        <w:rPr>
          <w:rFonts w:ascii="Times New Roman" w:hAnsi="Times New Roman"/>
          <w:sz w:val="24"/>
          <w:szCs w:val="24"/>
          <w:lang w:val="en-US"/>
        </w:rPr>
        <w:t>Sequía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Región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w:t>
      </w:r>
      <w:r w:rsidRPr="00131E57">
        <w:rPr>
          <w:rFonts w:ascii="Times New Roman" w:hAnsi="Times New Roman"/>
          <w:sz w:val="24"/>
          <w:szCs w:val="24"/>
          <w:lang w:val="en-US"/>
        </w:rPr>
        <w:t>emiárida</w:t>
      </w:r>
      <w:proofErr w:type="spellEnd"/>
      <w:r w:rsidRPr="00131E57">
        <w:rPr>
          <w:rFonts w:ascii="Times New Roman" w:hAnsi="Times New Roman"/>
          <w:sz w:val="24"/>
          <w:szCs w:val="24"/>
          <w:lang w:val="en-US"/>
        </w:rPr>
        <w:t>.</w:t>
      </w:r>
    </w:p>
    <w:p w:rsidR="00CC306B" w:rsidRDefault="00CC306B" w:rsidP="00131E57">
      <w:pPr>
        <w:spacing w:after="0" w:line="360" w:lineRule="auto"/>
        <w:rPr>
          <w:rFonts w:ascii="Times New Roman" w:hAnsi="Times New Roman"/>
          <w:sz w:val="24"/>
          <w:szCs w:val="24"/>
          <w:lang w:val="en-US"/>
        </w:rPr>
      </w:pPr>
    </w:p>
    <w:p w:rsidR="00131E57" w:rsidRDefault="00131E57" w:rsidP="00131E57">
      <w:pPr>
        <w:spacing w:after="0" w:line="360" w:lineRule="auto"/>
        <w:rPr>
          <w:rFonts w:ascii="Times New Roman" w:hAnsi="Times New Roman"/>
          <w:sz w:val="24"/>
          <w:szCs w:val="24"/>
          <w:lang w:val="en-US"/>
        </w:rPr>
      </w:pPr>
    </w:p>
    <w:p w:rsidR="00CC306B" w:rsidRDefault="00CC306B" w:rsidP="00131E57">
      <w:pPr>
        <w:spacing w:after="0" w:line="360" w:lineRule="auto"/>
        <w:jc w:val="both"/>
        <w:rPr>
          <w:rFonts w:ascii="Times New Roman" w:hAnsi="Times New Roman"/>
          <w:b/>
          <w:sz w:val="24"/>
          <w:szCs w:val="24"/>
        </w:rPr>
      </w:pPr>
      <w:r w:rsidRPr="00716054">
        <w:rPr>
          <w:rFonts w:ascii="Times New Roman" w:hAnsi="Times New Roman"/>
          <w:b/>
          <w:sz w:val="24"/>
          <w:szCs w:val="24"/>
        </w:rPr>
        <w:t>1 – INTRODUÇÃO</w:t>
      </w:r>
      <w:bookmarkEnd w:id="0"/>
    </w:p>
    <w:p w:rsidR="00131E57" w:rsidRPr="00716054" w:rsidRDefault="00131E57" w:rsidP="00131E57">
      <w:pPr>
        <w:spacing w:after="0" w:line="360" w:lineRule="auto"/>
        <w:jc w:val="both"/>
        <w:rPr>
          <w:rFonts w:ascii="Times New Roman" w:hAnsi="Times New Roman"/>
          <w:b/>
          <w:sz w:val="24"/>
          <w:szCs w:val="24"/>
        </w:rPr>
      </w:pPr>
    </w:p>
    <w:p w:rsidR="00CC306B" w:rsidRPr="00716054" w:rsidRDefault="00CC306B" w:rsidP="00131E57">
      <w:pPr>
        <w:spacing w:after="0" w:line="360" w:lineRule="auto"/>
        <w:ind w:firstLine="709"/>
        <w:jc w:val="both"/>
        <w:rPr>
          <w:rFonts w:ascii="Times New Roman" w:hAnsi="Times New Roman"/>
          <w:sz w:val="24"/>
          <w:szCs w:val="24"/>
        </w:rPr>
      </w:pPr>
      <w:r w:rsidRPr="00716054">
        <w:rPr>
          <w:rFonts w:ascii="Times New Roman" w:hAnsi="Times New Roman"/>
          <w:sz w:val="24"/>
          <w:szCs w:val="24"/>
        </w:rPr>
        <w:t>As secas ou estiagens representam um fenômeno climático que atinge diversas regiões ao redor do mundo, associando-se à irregularidade ou à escassez de chuvas por períodos prolongados, tornando a oferta hídrica incompatível com as necessidades de consumo humano e desencadeando vários tipos de efeitos danosos nos lugares onde ocorrem. As mesmas também podem ser descritas como eventos naturais extremos que ocasionam impactos sociais e econômicos nocivos, tais como perdas nas lavouras e nos rebanhos, sobretudo nas áreas nas quais a agropecuária é realizada de forma extensiva, tendo em vista sua dependência quanto ao regime pluviométrico (ALPINO; FREITAS;</w:t>
      </w:r>
      <w:r w:rsidR="00D21B4B">
        <w:rPr>
          <w:rFonts w:ascii="Times New Roman" w:hAnsi="Times New Roman"/>
          <w:sz w:val="24"/>
          <w:szCs w:val="24"/>
        </w:rPr>
        <w:t xml:space="preserve"> COSTA, 2014; NYS; ENGLE; MAGALHÃES, 2016</w:t>
      </w:r>
      <w:r w:rsidRPr="00716054">
        <w:rPr>
          <w:rFonts w:ascii="Times New Roman" w:hAnsi="Times New Roman"/>
          <w:sz w:val="24"/>
          <w:szCs w:val="24"/>
        </w:rPr>
        <w:t>).</w:t>
      </w:r>
    </w:p>
    <w:p w:rsidR="00CC306B" w:rsidRPr="00716054" w:rsidRDefault="00CC306B" w:rsidP="00131E57">
      <w:pPr>
        <w:spacing w:after="0" w:line="360" w:lineRule="auto"/>
        <w:ind w:firstLine="709"/>
        <w:jc w:val="both"/>
        <w:rPr>
          <w:rFonts w:ascii="Times New Roman" w:hAnsi="Times New Roman"/>
          <w:sz w:val="24"/>
          <w:szCs w:val="24"/>
        </w:rPr>
      </w:pPr>
      <w:r w:rsidRPr="00716054">
        <w:rPr>
          <w:rFonts w:ascii="Times New Roman" w:hAnsi="Times New Roman"/>
          <w:sz w:val="24"/>
          <w:szCs w:val="24"/>
        </w:rPr>
        <w:t>Devido ao seu clima extremamente quente, além de sua elevada instabilidade em relação aos índices pluviométricos, as regiões semiáridas apresentam maior propensão a abrigar eventos naturais extremos como as secas. Dentre as zonas com características de semiaridez na América do Sul, destaca-se por sua extensão a que se encontra no território brasileiro e engloba parte significativa do Nordeste, concentrando aproximadamente 12% da população nacional (</w:t>
      </w:r>
      <w:r w:rsidR="00D21B4B">
        <w:rPr>
          <w:rFonts w:ascii="Times New Roman" w:hAnsi="Times New Roman"/>
          <w:sz w:val="24"/>
          <w:szCs w:val="24"/>
        </w:rPr>
        <w:t xml:space="preserve">AB’SÁBER, 1999; </w:t>
      </w:r>
      <w:r w:rsidRPr="00716054">
        <w:rPr>
          <w:rFonts w:ascii="Times New Roman" w:hAnsi="Times New Roman"/>
          <w:sz w:val="24"/>
          <w:szCs w:val="24"/>
        </w:rPr>
        <w:t>CARVALHO, 2014). A despeito do histórico de estiagens ocorridas em outras áreas do país, as características naturais do semiárido nordestino tornam este espaço territorial extremamente vulnerável às adversidades climatológicas.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 xml:space="preserve">Note-se que os impactos negativos das secas no Nordeste vêm se intensificando diante do cenário de aquecimento global, pois a elevação das temperaturas médias do planeta aumenta a evaporação das fontes de água que abastecem os municípios da região e, em particular, do Rio Grande do Norte (RN). O referido estado, foco deste estudo, é o que apresenta o maior percentual de semiaridez no Brasil, tendo em vista que 93% do seu território </w:t>
      </w:r>
      <w:proofErr w:type="gramStart"/>
      <w:r w:rsidRPr="00716054">
        <w:rPr>
          <w:rFonts w:ascii="Times New Roman" w:hAnsi="Times New Roman"/>
          <w:sz w:val="24"/>
          <w:szCs w:val="24"/>
        </w:rPr>
        <w:t>está</w:t>
      </w:r>
      <w:proofErr w:type="gramEnd"/>
      <w:r w:rsidRPr="00716054">
        <w:rPr>
          <w:rFonts w:ascii="Times New Roman" w:hAnsi="Times New Roman"/>
          <w:sz w:val="24"/>
          <w:szCs w:val="24"/>
        </w:rPr>
        <w:t xml:space="preserve"> inserido na área de abrangência do semiárido nacional (BNB, 2014). Isso significa que a parcela majoritária do espaço geográfico potiguar encontra-se vulnerável à variabilidade pluviométrica que é inerente a este tipo de clima, com reflexos diretos no meio rural.</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De fato, nos momentos de estio, o meio rural potiguar, assim como outras localidades do sertão nordestino, tem sido atingido mais rapidamente e com maior intensidade do que as áreas urbanizadas, em virtude da dependência das atividades desenvolvidas neste espaço em relação ao regime de chuvas. Deve ser destacado, assim, que um período prolongado de escassez hídrica compromete a continuação das atividades agropecuárias de sequeiro, que apresentam um aspecto extensivo e pouco produtivo em anos de invernos normais, e sofrem reduções acentuadas na sua produtividade em períodos de estiagem (KHAN; CAMPOS, 1995; MAIA GOMES, 2001).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Mesmo sabendo-se que as secas impactam diretamente o desenvolvimento das atividades agrícolas, percebe-se que há uma carência de pesquisas estruturadas que possibilitem o entendimento das suas implicações socioeconômicas e da distribuição de seus efeitos produtivos no rural norte-rio-grandense. Isso representa uma lacuna importante, pois apesar das mudanças sociais verificadas no decorrer dos anos recentes devido à ampliação da rede de políticas de proteção social para as famílias pobres (Bolsa Família, aposentadorias rurais etc.), as áreas rurais continuam sendo severamente afetadas por problemas decorrentes da falta de água ou de sua oferta insuficiente.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No começo da segunda década do século XXI (2012-2016), por exemplo, tal realidade mostrou novamente a sua face emergencial quando mais uma grande seca se abateu sobre o Nordeste e, especificamente, sobre o RN. Vale salientar que a referida estiagem é considerada por especialistas e gestores públicos a maior dos últimos 50 anos, representando uma sequência de cinco anos seguidos com reduzidos índices pluviométricos. A escassez de chuvas durante o período acarretou uma grave redução nas reservas de água doce acumuladas na bacia hidrográfica potiguar, de modo que sua intensidade causou o colapso e uma redução considerável nos níveis dos reservatórios estaduais, gerando </w:t>
      </w:r>
      <w:r w:rsidR="00215DDB">
        <w:rPr>
          <w:rFonts w:ascii="Times New Roman" w:hAnsi="Times New Roman"/>
          <w:sz w:val="24"/>
          <w:szCs w:val="24"/>
        </w:rPr>
        <w:t>rebatimentos</w:t>
      </w:r>
      <w:r w:rsidRPr="00716054">
        <w:rPr>
          <w:rFonts w:ascii="Times New Roman" w:hAnsi="Times New Roman"/>
          <w:sz w:val="24"/>
          <w:szCs w:val="24"/>
        </w:rPr>
        <w:t xml:space="preserve"> </w:t>
      </w:r>
      <w:r w:rsidR="00215DDB">
        <w:rPr>
          <w:rFonts w:ascii="Times New Roman" w:hAnsi="Times New Roman"/>
          <w:sz w:val="24"/>
          <w:szCs w:val="24"/>
        </w:rPr>
        <w:t>principalmente nas</w:t>
      </w:r>
      <w:r w:rsidRPr="00716054">
        <w:rPr>
          <w:rFonts w:ascii="Times New Roman" w:hAnsi="Times New Roman"/>
          <w:sz w:val="24"/>
          <w:szCs w:val="24"/>
        </w:rPr>
        <w:t xml:space="preserve"> atividades tradicionais desenvolvidas pelo setor primário local.</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A severidade da mencionada estiagem lhe proporcionou espaço na mídia impressa e eletrônica, onde foram veiculadas inúmeras matérias jornalísticas e tentativas preliminares de estimar as perdas na agropecuária resultantes da escassez de chuvas no território potiguar</w:t>
      </w:r>
      <w:r w:rsidR="00C94BC9">
        <w:rPr>
          <w:rFonts w:ascii="Times New Roman" w:hAnsi="Times New Roman"/>
          <w:sz w:val="24"/>
          <w:szCs w:val="24"/>
        </w:rPr>
        <w:t xml:space="preserve">, gerando informações </w:t>
      </w:r>
      <w:r w:rsidR="00C5668D">
        <w:rPr>
          <w:rFonts w:ascii="Times New Roman" w:hAnsi="Times New Roman"/>
          <w:sz w:val="24"/>
          <w:szCs w:val="24"/>
        </w:rPr>
        <w:t>superficiais</w:t>
      </w:r>
      <w:r w:rsidR="00C94BC9">
        <w:rPr>
          <w:rFonts w:ascii="Times New Roman" w:hAnsi="Times New Roman"/>
          <w:sz w:val="24"/>
          <w:szCs w:val="24"/>
        </w:rPr>
        <w:t xml:space="preserve"> e até contraditórias sobre os números apresentados</w:t>
      </w:r>
      <w:r w:rsidR="00511D62">
        <w:rPr>
          <w:rFonts w:ascii="Times New Roman" w:hAnsi="Times New Roman"/>
          <w:sz w:val="24"/>
          <w:szCs w:val="24"/>
        </w:rPr>
        <w:t xml:space="preserve"> </w:t>
      </w:r>
      <w:r w:rsidR="00511D62" w:rsidRPr="00716054">
        <w:rPr>
          <w:rFonts w:ascii="Times New Roman" w:hAnsi="Times New Roman"/>
          <w:sz w:val="24"/>
          <w:szCs w:val="24"/>
        </w:rPr>
        <w:t>(</w:t>
      </w:r>
      <w:r w:rsidR="00511D62">
        <w:rPr>
          <w:rFonts w:ascii="Times New Roman" w:hAnsi="Times New Roman"/>
          <w:sz w:val="24"/>
          <w:szCs w:val="24"/>
        </w:rPr>
        <w:t xml:space="preserve">FRANÇA; MORENO, 2017; </w:t>
      </w:r>
      <w:r w:rsidR="00511D62" w:rsidRPr="00716054">
        <w:rPr>
          <w:rFonts w:ascii="Times New Roman" w:hAnsi="Times New Roman"/>
          <w:sz w:val="24"/>
          <w:szCs w:val="24"/>
        </w:rPr>
        <w:t>FREIRE, 2012)</w:t>
      </w:r>
      <w:r w:rsidRPr="00716054">
        <w:rPr>
          <w:rFonts w:ascii="Times New Roman" w:hAnsi="Times New Roman"/>
          <w:sz w:val="24"/>
          <w:szCs w:val="24"/>
        </w:rPr>
        <w:t xml:space="preserve">. Mas, afinal, quais foram os impactos da grande seca citada sobre o comportamento das lavouras e da pecuária norte-rio-grandense? Quais culturas e atividades foram mais atingidas pela escassez hídrica verificada no estado?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Diante destes questionamentos, o objetivo do presente artigo é fazer um breve balanço da grande seca ocorrida no período de 2012 a 2016 no território potiguar e estudar os seus efeitos nos indicadores de produção da agropecuária estadual. Para tanto, além da revisão da bibliografia disponível sobre o tema, foram utilizados dados estatísticos disponíveis em dois levantamentos do Instituto Brasileiro de Geografia e Estatística (IBGE): a Pesquisa Agrícola Municipal (PAM) e a Pesquisa Pecuária Municipal (PPM).</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Ao longo da análise argumenta-se que a estiagem atingiu com graus </w:t>
      </w:r>
      <w:proofErr w:type="gramStart"/>
      <w:r w:rsidRPr="00716054">
        <w:rPr>
          <w:rFonts w:ascii="Times New Roman" w:hAnsi="Times New Roman"/>
          <w:sz w:val="24"/>
          <w:szCs w:val="24"/>
        </w:rPr>
        <w:t>diferenciados</w:t>
      </w:r>
      <w:proofErr w:type="gramEnd"/>
      <w:r w:rsidRPr="00716054">
        <w:rPr>
          <w:rFonts w:ascii="Times New Roman" w:hAnsi="Times New Roman"/>
          <w:sz w:val="24"/>
          <w:szCs w:val="24"/>
        </w:rPr>
        <w:t xml:space="preserve"> os segmentos rurais do RN, afetando de maneira mais intensa a produção de alimentos básicos e a pecuária desenvolvida por pequenos produtores familiares em regime de sequeiro, e, em menor proporção, as atividades capitalizadas (cana-de-açúcar, fruticultura irrigada e pecuária intensiva) desenvolvidas por médios e grandes produtores nas áreas de solos mais férteis do campo potiguar.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A estrutura do texto está organizada em quatro seções, além desta Introdução. Na segunda seção, são apresentadas informações gerais sobre a ocorrência de secas no RN, destacando as características da estiagem recente. Nas duas seções seguintes, busca-se mensurar os impactos da grande seca na agropecuária local, analisando o comportamento dos indicadores em um ano normal (2011) e nos anos posteriores marcados pela escassez de chuvas (2012-2016). Na última seção, por sua vez, são tecidas as considerações finais, bem como são elencados alguns desafios norteadores para a ação governamental no meio rural do referido estado.</w:t>
      </w:r>
    </w:p>
    <w:p w:rsidR="00CC306B" w:rsidRPr="00716054" w:rsidRDefault="00CC306B" w:rsidP="00131E57">
      <w:pPr>
        <w:spacing w:after="0" w:line="360" w:lineRule="auto"/>
        <w:ind w:firstLine="284"/>
        <w:jc w:val="both"/>
        <w:rPr>
          <w:rFonts w:ascii="Times New Roman" w:hAnsi="Times New Roman"/>
          <w:sz w:val="24"/>
          <w:szCs w:val="24"/>
        </w:rPr>
      </w:pPr>
    </w:p>
    <w:p w:rsidR="00CC306B" w:rsidRPr="00716054" w:rsidRDefault="00CC306B" w:rsidP="00131E57">
      <w:pPr>
        <w:spacing w:after="0" w:line="360" w:lineRule="auto"/>
        <w:jc w:val="both"/>
        <w:rPr>
          <w:rFonts w:ascii="Times New Roman" w:hAnsi="Times New Roman"/>
          <w:b/>
          <w:sz w:val="24"/>
          <w:szCs w:val="24"/>
        </w:rPr>
      </w:pPr>
      <w:bookmarkStart w:id="1" w:name="_Toc484048912"/>
      <w:r w:rsidRPr="00716054">
        <w:rPr>
          <w:rFonts w:ascii="Times New Roman" w:hAnsi="Times New Roman"/>
          <w:b/>
          <w:sz w:val="24"/>
          <w:szCs w:val="24"/>
        </w:rPr>
        <w:t xml:space="preserve">2 – A GRANDE SECA (2012-2016) E A ESCASSEZ HÍDRICA NO </w:t>
      </w:r>
      <w:bookmarkEnd w:id="1"/>
      <w:r w:rsidRPr="00716054">
        <w:rPr>
          <w:rFonts w:ascii="Times New Roman" w:hAnsi="Times New Roman"/>
          <w:b/>
          <w:sz w:val="24"/>
          <w:szCs w:val="24"/>
        </w:rPr>
        <w:t>RIO GRANDE DO NORTE</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As secas são um tipo de desastre natural recorrente na maior parte do espaço regional do Nordeste do Brasil, principalmente na sua porção semiárida. Conforme explicam Andrade (1999</w:t>
      </w:r>
      <w:r w:rsidR="00A66C40">
        <w:rPr>
          <w:rFonts w:ascii="Times New Roman" w:hAnsi="Times New Roman"/>
          <w:sz w:val="24"/>
          <w:szCs w:val="24"/>
        </w:rPr>
        <w:t>; 2005</w:t>
      </w:r>
      <w:r w:rsidRPr="00716054">
        <w:rPr>
          <w:rFonts w:ascii="Times New Roman" w:hAnsi="Times New Roman"/>
          <w:sz w:val="24"/>
          <w:szCs w:val="24"/>
        </w:rPr>
        <w:t xml:space="preserve">) e Maia Gomes (2001), os anos de chuvas regulares podem ser vistos como exceções em meio aos anos de estiagem frequentes que ocorrem no semiárido nordestino, o </w:t>
      </w:r>
      <w:r w:rsidRPr="00716054">
        <w:rPr>
          <w:rFonts w:ascii="Times New Roman" w:hAnsi="Times New Roman"/>
          <w:sz w:val="24"/>
          <w:szCs w:val="24"/>
        </w:rPr>
        <w:lastRenderedPageBreak/>
        <w:t xml:space="preserve">que pode ser constatado também no RN, tendo em vista que 93% do seu território </w:t>
      </w:r>
      <w:proofErr w:type="gramStart"/>
      <w:r w:rsidRPr="00716054">
        <w:rPr>
          <w:rFonts w:ascii="Times New Roman" w:hAnsi="Times New Roman"/>
          <w:sz w:val="24"/>
          <w:szCs w:val="24"/>
        </w:rPr>
        <w:t>é</w:t>
      </w:r>
      <w:proofErr w:type="gramEnd"/>
      <w:r w:rsidRPr="00716054">
        <w:rPr>
          <w:rFonts w:ascii="Times New Roman" w:hAnsi="Times New Roman"/>
          <w:sz w:val="24"/>
          <w:szCs w:val="24"/>
        </w:rPr>
        <w:t xml:space="preserve"> abrangido por este tipo climático. Como evidência da vulnerabilidade do território norte-rio-grandense às estiagens, </w:t>
      </w:r>
      <w:r w:rsidR="00F26A84">
        <w:rPr>
          <w:rFonts w:ascii="Times New Roman" w:hAnsi="Times New Roman"/>
          <w:sz w:val="24"/>
          <w:szCs w:val="24"/>
        </w:rPr>
        <w:t xml:space="preserve">o </w:t>
      </w:r>
      <w:r w:rsidRPr="00716054">
        <w:rPr>
          <w:rFonts w:ascii="Times New Roman" w:hAnsi="Times New Roman"/>
          <w:sz w:val="24"/>
          <w:szCs w:val="24"/>
        </w:rPr>
        <w:t xml:space="preserve">Quadro </w:t>
      </w:r>
      <w:proofErr w:type="gramStart"/>
      <w:r w:rsidRPr="00716054">
        <w:rPr>
          <w:rFonts w:ascii="Times New Roman" w:hAnsi="Times New Roman"/>
          <w:sz w:val="24"/>
          <w:szCs w:val="24"/>
        </w:rPr>
        <w:t>1</w:t>
      </w:r>
      <w:proofErr w:type="gramEnd"/>
      <w:r w:rsidRPr="00716054">
        <w:rPr>
          <w:rFonts w:ascii="Times New Roman" w:hAnsi="Times New Roman"/>
          <w:sz w:val="24"/>
          <w:szCs w:val="24"/>
        </w:rPr>
        <w:t xml:space="preserve"> </w:t>
      </w:r>
      <w:r w:rsidR="00F26A84">
        <w:rPr>
          <w:rFonts w:ascii="Times New Roman" w:hAnsi="Times New Roman"/>
          <w:sz w:val="24"/>
          <w:szCs w:val="24"/>
        </w:rPr>
        <w:t xml:space="preserve">reúne </w:t>
      </w:r>
      <w:r w:rsidRPr="00716054">
        <w:rPr>
          <w:rFonts w:ascii="Times New Roman" w:hAnsi="Times New Roman"/>
          <w:sz w:val="24"/>
          <w:szCs w:val="24"/>
        </w:rPr>
        <w:t>um conjunto de informações referentes à situação climática estadual entre 1963 e 2016, permitindo visualizar que nos 54 anos abrangidos no levantamento, 20 foram de estiagem. Ou seja, aproximadamente a cada três anos, um é de seca.</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Ainda no Quadro </w:t>
      </w:r>
      <w:proofErr w:type="gramStart"/>
      <w:r w:rsidRPr="00716054">
        <w:rPr>
          <w:rFonts w:ascii="Times New Roman" w:hAnsi="Times New Roman"/>
          <w:sz w:val="24"/>
          <w:szCs w:val="24"/>
        </w:rPr>
        <w:t>1</w:t>
      </w:r>
      <w:proofErr w:type="gramEnd"/>
      <w:r w:rsidRPr="00716054">
        <w:rPr>
          <w:rFonts w:ascii="Times New Roman" w:hAnsi="Times New Roman"/>
          <w:sz w:val="24"/>
          <w:szCs w:val="24"/>
        </w:rPr>
        <w:t xml:space="preserve"> também se observa que a ocorrência de secas não está restrita ao século passado. Isso porque quase a metade das duas primeiras décadas do século XXI foi marcada pelo fenômeno, totalizando nove anos de escassez pluviométrica em solo potiguar. Dentre os episódios de seca apresentados no quadro mencionado, destaca-se a estiagem de 2012/2016, por se tratar do maior período de escassez de chuvas dos últimos 50 anos no RN, representando uma sequência de cinco anos “muito secos”.</w:t>
      </w:r>
      <w:bookmarkStart w:id="2" w:name="_Toc486535379"/>
    </w:p>
    <w:p w:rsidR="0027796D" w:rsidRPr="00716054" w:rsidRDefault="0027796D" w:rsidP="00F26A84">
      <w:pPr>
        <w:spacing w:after="0" w:line="240" w:lineRule="auto"/>
        <w:rPr>
          <w:rFonts w:ascii="Times New Roman" w:hAnsi="Times New Roman"/>
          <w:sz w:val="24"/>
          <w:szCs w:val="24"/>
        </w:rPr>
      </w:pPr>
      <w:r w:rsidRPr="00716054">
        <w:rPr>
          <w:rFonts w:ascii="Times New Roman" w:hAnsi="Times New Roman"/>
          <w:b/>
          <w:sz w:val="24"/>
          <w:szCs w:val="24"/>
        </w:rPr>
        <w:t>Quadro 1 – Situação climática do Rio Grande do Norte - 1963 a 2016</w:t>
      </w:r>
    </w:p>
    <w:tbl>
      <w:tblPr>
        <w:tblW w:w="9087" w:type="dxa"/>
        <w:tblInd w:w="55" w:type="dxa"/>
        <w:tblCellMar>
          <w:left w:w="70" w:type="dxa"/>
          <w:right w:w="70" w:type="dxa"/>
        </w:tblCellMar>
        <w:tblLook w:val="04A0" w:firstRow="1" w:lastRow="0" w:firstColumn="1" w:lastColumn="0" w:noHBand="0" w:noVBand="1"/>
      </w:tblPr>
      <w:tblGrid>
        <w:gridCol w:w="1433"/>
        <w:gridCol w:w="3260"/>
        <w:gridCol w:w="1418"/>
        <w:gridCol w:w="2976"/>
      </w:tblGrid>
      <w:tr w:rsidR="00CC306B" w:rsidRPr="00716054" w:rsidTr="006B79D3">
        <w:trPr>
          <w:trHeight w:val="20"/>
        </w:trPr>
        <w:tc>
          <w:tcPr>
            <w:tcW w:w="14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bookmarkEnd w:id="2"/>
          <w:p w:rsidR="00CC306B" w:rsidRPr="006B79D3" w:rsidRDefault="00CC306B" w:rsidP="00131E57">
            <w:pPr>
              <w:spacing w:after="0" w:line="240" w:lineRule="auto"/>
              <w:jc w:val="center"/>
              <w:rPr>
                <w:rFonts w:ascii="Times New Roman" w:eastAsia="Times New Roman" w:hAnsi="Times New Roman"/>
                <w:b/>
              </w:rPr>
            </w:pPr>
            <w:r w:rsidRPr="006B79D3">
              <w:rPr>
                <w:rFonts w:ascii="Times New Roman" w:eastAsia="Times New Roman" w:hAnsi="Times New Roman"/>
                <w:b/>
              </w:rPr>
              <w:t>Ano</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C306B" w:rsidRPr="006B79D3" w:rsidRDefault="00CC306B" w:rsidP="00131E57">
            <w:pPr>
              <w:spacing w:after="0" w:line="240" w:lineRule="auto"/>
              <w:jc w:val="center"/>
              <w:rPr>
                <w:rFonts w:ascii="Times New Roman" w:eastAsia="Times New Roman" w:hAnsi="Times New Roman"/>
                <w:b/>
              </w:rPr>
            </w:pPr>
            <w:r w:rsidRPr="006B79D3">
              <w:rPr>
                <w:rFonts w:ascii="Times New Roman" w:eastAsia="Times New Roman" w:hAnsi="Times New Roman"/>
                <w:b/>
              </w:rPr>
              <w:t>Situação climática</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C306B" w:rsidRPr="006B79D3" w:rsidRDefault="00CC306B" w:rsidP="00131E57">
            <w:pPr>
              <w:spacing w:after="0" w:line="240" w:lineRule="auto"/>
              <w:jc w:val="center"/>
              <w:rPr>
                <w:rFonts w:ascii="Times New Roman" w:eastAsia="Times New Roman" w:hAnsi="Times New Roman"/>
                <w:b/>
              </w:rPr>
            </w:pPr>
            <w:r w:rsidRPr="006B79D3">
              <w:rPr>
                <w:rFonts w:ascii="Times New Roman" w:eastAsia="Times New Roman" w:hAnsi="Times New Roman"/>
                <w:b/>
              </w:rPr>
              <w:t>Ano</w:t>
            </w:r>
          </w:p>
        </w:tc>
        <w:tc>
          <w:tcPr>
            <w:tcW w:w="2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C306B" w:rsidRPr="006B79D3" w:rsidRDefault="00CC306B" w:rsidP="00131E57">
            <w:pPr>
              <w:spacing w:after="0" w:line="240" w:lineRule="auto"/>
              <w:jc w:val="center"/>
              <w:rPr>
                <w:rFonts w:ascii="Times New Roman" w:eastAsia="Times New Roman" w:hAnsi="Times New Roman"/>
                <w:b/>
              </w:rPr>
            </w:pPr>
            <w:r w:rsidRPr="006B79D3">
              <w:rPr>
                <w:rFonts w:ascii="Times New Roman" w:eastAsia="Times New Roman" w:hAnsi="Times New Roman"/>
                <w:b/>
              </w:rPr>
              <w:t>Situação climática</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1963</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1990</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1964</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1991</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1965</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1992</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1966</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1993</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1967</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1994</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1968</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1995</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1969</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1996</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1970</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1997</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1971</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1998</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1972</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1999</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1973</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2000</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1974</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Chuvoso a Muito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2001</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1975</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2002</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1976</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2003</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1977</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2004</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Chuvoso a Muito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1978</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2005</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1979</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2006</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1980</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2007</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1981</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2008</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1982</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2009</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Chuvoso a Muito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1983</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2010</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1984</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2011</w:t>
            </w:r>
          </w:p>
        </w:tc>
        <w:tc>
          <w:tcPr>
            <w:tcW w:w="2976"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1985</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2012</w:t>
            </w:r>
          </w:p>
        </w:tc>
        <w:tc>
          <w:tcPr>
            <w:tcW w:w="2976"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1986</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2013</w:t>
            </w:r>
          </w:p>
        </w:tc>
        <w:tc>
          <w:tcPr>
            <w:tcW w:w="2976"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1987</w:t>
            </w:r>
          </w:p>
        </w:tc>
        <w:tc>
          <w:tcPr>
            <w:tcW w:w="3260" w:type="dxa"/>
            <w:tcBorders>
              <w:top w:val="nil"/>
              <w:left w:val="single" w:sz="4" w:space="0" w:color="auto"/>
              <w:bottom w:val="nil"/>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Seco</w:t>
            </w:r>
          </w:p>
        </w:tc>
        <w:tc>
          <w:tcPr>
            <w:tcW w:w="1418"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2014</w:t>
            </w:r>
          </w:p>
        </w:tc>
        <w:tc>
          <w:tcPr>
            <w:tcW w:w="2976" w:type="dxa"/>
            <w:tcBorders>
              <w:top w:val="nil"/>
              <w:left w:val="single" w:sz="4" w:space="0" w:color="auto"/>
              <w:bottom w:val="nil"/>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1988</w:t>
            </w:r>
          </w:p>
        </w:tc>
        <w:tc>
          <w:tcPr>
            <w:tcW w:w="3260" w:type="dxa"/>
            <w:tcBorders>
              <w:top w:val="nil"/>
              <w:left w:val="single" w:sz="4" w:space="0" w:color="auto"/>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2015</w:t>
            </w:r>
          </w:p>
        </w:tc>
        <w:tc>
          <w:tcPr>
            <w:tcW w:w="2976" w:type="dxa"/>
            <w:tcBorders>
              <w:top w:val="nil"/>
              <w:left w:val="single" w:sz="4" w:space="0" w:color="auto"/>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r w:rsidR="00CC306B" w:rsidRPr="00716054" w:rsidTr="006B79D3">
        <w:trPr>
          <w:trHeight w:val="20"/>
        </w:trPr>
        <w:tc>
          <w:tcPr>
            <w:tcW w:w="1433" w:type="dxa"/>
            <w:tcBorders>
              <w:top w:val="nil"/>
              <w:left w:val="single" w:sz="4" w:space="0" w:color="auto"/>
              <w:bottom w:val="single" w:sz="4" w:space="0" w:color="auto"/>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1989</w:t>
            </w:r>
          </w:p>
        </w:tc>
        <w:tc>
          <w:tcPr>
            <w:tcW w:w="3260" w:type="dxa"/>
            <w:tcBorders>
              <w:top w:val="nil"/>
              <w:left w:val="single" w:sz="4" w:space="0" w:color="auto"/>
              <w:bottom w:val="single" w:sz="4" w:space="0" w:color="auto"/>
              <w:right w:val="single" w:sz="4" w:space="0" w:color="auto"/>
            </w:tcBorders>
            <w:shd w:val="clear" w:color="auto" w:fill="auto"/>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Normal a Chuvoso</w:t>
            </w:r>
          </w:p>
        </w:tc>
        <w:tc>
          <w:tcPr>
            <w:tcW w:w="1418"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2016</w:t>
            </w:r>
          </w:p>
        </w:tc>
        <w:tc>
          <w:tcPr>
            <w:tcW w:w="2976"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rsidR="00CC306B" w:rsidRPr="006B79D3" w:rsidRDefault="00CC306B" w:rsidP="00131E57">
            <w:pPr>
              <w:spacing w:after="0" w:line="240" w:lineRule="auto"/>
              <w:jc w:val="center"/>
              <w:rPr>
                <w:rFonts w:ascii="Times New Roman" w:eastAsia="Times New Roman" w:hAnsi="Times New Roman"/>
              </w:rPr>
            </w:pPr>
            <w:r w:rsidRPr="006B79D3">
              <w:rPr>
                <w:rFonts w:ascii="Times New Roman" w:eastAsia="Times New Roman" w:hAnsi="Times New Roman"/>
              </w:rPr>
              <w:t>Muito seco</w:t>
            </w:r>
          </w:p>
        </w:tc>
      </w:tr>
    </w:tbl>
    <w:p w:rsidR="00CC306B" w:rsidRPr="00716054" w:rsidRDefault="00CC306B" w:rsidP="00131E57">
      <w:pPr>
        <w:spacing w:after="0" w:line="240" w:lineRule="auto"/>
        <w:rPr>
          <w:rFonts w:ascii="Times New Roman" w:hAnsi="Times New Roman"/>
          <w:sz w:val="20"/>
          <w:szCs w:val="20"/>
        </w:rPr>
      </w:pPr>
      <w:r w:rsidRPr="00716054">
        <w:rPr>
          <w:rFonts w:ascii="Times New Roman" w:hAnsi="Times New Roman"/>
          <w:b/>
          <w:sz w:val="20"/>
          <w:szCs w:val="20"/>
        </w:rPr>
        <w:t xml:space="preserve">Fonte: </w:t>
      </w:r>
      <w:r w:rsidRPr="00716054">
        <w:rPr>
          <w:rFonts w:ascii="Times New Roman" w:hAnsi="Times New Roman"/>
          <w:sz w:val="20"/>
          <w:szCs w:val="20"/>
        </w:rPr>
        <w:t xml:space="preserve">EMPARN (2017); Neves </w:t>
      </w:r>
      <w:proofErr w:type="gramStart"/>
      <w:r w:rsidRPr="00716054">
        <w:rPr>
          <w:rFonts w:ascii="Times New Roman" w:hAnsi="Times New Roman"/>
          <w:sz w:val="20"/>
          <w:szCs w:val="20"/>
        </w:rPr>
        <w:t>et</w:t>
      </w:r>
      <w:proofErr w:type="gramEnd"/>
      <w:r w:rsidRPr="00716054">
        <w:rPr>
          <w:rFonts w:ascii="Times New Roman" w:hAnsi="Times New Roman"/>
          <w:sz w:val="20"/>
          <w:szCs w:val="20"/>
        </w:rPr>
        <w:t xml:space="preserve"> al. (2010).</w:t>
      </w:r>
    </w:p>
    <w:p w:rsidR="00CC306B" w:rsidRPr="00716054" w:rsidRDefault="00CC306B" w:rsidP="00131E57">
      <w:pPr>
        <w:spacing w:after="0" w:line="240" w:lineRule="auto"/>
        <w:jc w:val="both"/>
        <w:rPr>
          <w:rFonts w:ascii="Times New Roman" w:hAnsi="Times New Roman"/>
          <w:sz w:val="20"/>
          <w:szCs w:val="20"/>
        </w:rPr>
      </w:pPr>
      <w:r w:rsidRPr="00716054">
        <w:rPr>
          <w:rFonts w:ascii="Times New Roman" w:hAnsi="Times New Roman"/>
          <w:b/>
          <w:sz w:val="20"/>
          <w:szCs w:val="20"/>
        </w:rPr>
        <w:t>Nota</w:t>
      </w:r>
      <w:r w:rsidRPr="00716054">
        <w:rPr>
          <w:rFonts w:ascii="Times New Roman" w:hAnsi="Times New Roman"/>
          <w:sz w:val="20"/>
          <w:szCs w:val="20"/>
        </w:rPr>
        <w:t xml:space="preserve">: Para a caracterização dos anos em relação à pluviometria, foi adotada uma classificação em cinco categorias, por faixas de </w:t>
      </w:r>
      <w:proofErr w:type="spellStart"/>
      <w:r w:rsidRPr="00716054">
        <w:rPr>
          <w:rFonts w:ascii="Times New Roman" w:hAnsi="Times New Roman"/>
          <w:sz w:val="20"/>
          <w:szCs w:val="20"/>
        </w:rPr>
        <w:t>quantis</w:t>
      </w:r>
      <w:proofErr w:type="spellEnd"/>
      <w:r w:rsidRPr="00716054">
        <w:rPr>
          <w:rFonts w:ascii="Times New Roman" w:hAnsi="Times New Roman"/>
          <w:sz w:val="20"/>
          <w:szCs w:val="20"/>
        </w:rPr>
        <w:t xml:space="preserve">, conforme a metodologia exposta por Neves </w:t>
      </w:r>
      <w:proofErr w:type="gramStart"/>
      <w:r w:rsidRPr="00716054">
        <w:rPr>
          <w:rFonts w:ascii="Times New Roman" w:hAnsi="Times New Roman"/>
          <w:sz w:val="20"/>
          <w:szCs w:val="20"/>
        </w:rPr>
        <w:t>et</w:t>
      </w:r>
      <w:proofErr w:type="gramEnd"/>
      <w:r w:rsidRPr="00716054">
        <w:rPr>
          <w:rFonts w:ascii="Times New Roman" w:hAnsi="Times New Roman"/>
          <w:sz w:val="20"/>
          <w:szCs w:val="20"/>
        </w:rPr>
        <w:t xml:space="preserve"> al. (2010). Desse modo, com F(x) sendo a função de distribuição de probabilidade da precipitação, os anos foram segmentados da seguinte forma em relação à pluviosidade: </w:t>
      </w:r>
      <w:r w:rsidRPr="00716054">
        <w:rPr>
          <w:rFonts w:ascii="Times New Roman" w:hAnsi="Times New Roman"/>
          <w:b/>
          <w:sz w:val="20"/>
          <w:szCs w:val="20"/>
        </w:rPr>
        <w:t>Muito Seco</w:t>
      </w:r>
      <w:r w:rsidRPr="00716054">
        <w:rPr>
          <w:rFonts w:ascii="Times New Roman" w:hAnsi="Times New Roman"/>
          <w:sz w:val="20"/>
          <w:szCs w:val="20"/>
        </w:rPr>
        <w:t xml:space="preserve"> (0&lt;F(x)≤0,15); </w:t>
      </w:r>
      <w:r w:rsidRPr="00716054">
        <w:rPr>
          <w:rFonts w:ascii="Times New Roman" w:hAnsi="Times New Roman"/>
          <w:b/>
          <w:sz w:val="20"/>
          <w:szCs w:val="20"/>
        </w:rPr>
        <w:t>Seco</w:t>
      </w:r>
      <w:r w:rsidRPr="00716054">
        <w:rPr>
          <w:rFonts w:ascii="Times New Roman" w:hAnsi="Times New Roman"/>
          <w:sz w:val="20"/>
          <w:szCs w:val="20"/>
        </w:rPr>
        <w:t xml:space="preserve"> (0,15&lt;F(x)≤0,35); </w:t>
      </w:r>
      <w:r w:rsidRPr="00716054">
        <w:rPr>
          <w:rFonts w:ascii="Times New Roman" w:hAnsi="Times New Roman"/>
          <w:b/>
          <w:sz w:val="20"/>
          <w:szCs w:val="20"/>
        </w:rPr>
        <w:t>Normal</w:t>
      </w:r>
      <w:r w:rsidRPr="00716054">
        <w:rPr>
          <w:rFonts w:ascii="Times New Roman" w:hAnsi="Times New Roman"/>
          <w:sz w:val="20"/>
          <w:szCs w:val="20"/>
        </w:rPr>
        <w:t xml:space="preserve"> (0,35&lt;F(x)≤0,65); </w:t>
      </w:r>
      <w:r w:rsidRPr="00716054">
        <w:rPr>
          <w:rFonts w:ascii="Times New Roman" w:hAnsi="Times New Roman"/>
          <w:b/>
          <w:sz w:val="20"/>
          <w:szCs w:val="20"/>
        </w:rPr>
        <w:t>Chuvoso</w:t>
      </w:r>
      <w:r w:rsidRPr="00716054">
        <w:rPr>
          <w:rFonts w:ascii="Times New Roman" w:hAnsi="Times New Roman"/>
          <w:sz w:val="20"/>
          <w:szCs w:val="20"/>
        </w:rPr>
        <w:t xml:space="preserve"> (0,65&lt;F(x)≤0,85) e </w:t>
      </w:r>
      <w:r w:rsidRPr="00716054">
        <w:rPr>
          <w:rFonts w:ascii="Times New Roman" w:hAnsi="Times New Roman"/>
          <w:b/>
          <w:sz w:val="20"/>
          <w:szCs w:val="20"/>
        </w:rPr>
        <w:t>Muito Chuvoso</w:t>
      </w:r>
      <w:r w:rsidRPr="00716054">
        <w:rPr>
          <w:rFonts w:ascii="Times New Roman" w:hAnsi="Times New Roman"/>
          <w:sz w:val="20"/>
          <w:szCs w:val="20"/>
        </w:rPr>
        <w:t xml:space="preserve"> (0,85&lt;F(x)≤1,0).</w:t>
      </w:r>
    </w:p>
    <w:p w:rsidR="00CC306B" w:rsidRPr="00716054" w:rsidRDefault="00CC306B" w:rsidP="00131E57">
      <w:pPr>
        <w:widowControl w:val="0"/>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Compete ressaltar que no decorrer do século passado foram adotadas diversas estratégias governamentais para minimizar os efeitos das secas em solo norte-rio-grandense. O aproveitamento da bacia hidrográfica potiguar na forma de represas constituiu um avanço no abastecimento regular de água potável para a população, especialmente das comunidades mais afastadas dos centros urbanos de grande e médio porte. De maneira complementar, o programa de adutoras adotado na referida unidade federativa em fins do século XX, por sua amplitude (mais de 1.000 km), surgiu como uma alternativa importante para facilitar o fornecimento de água para os municípios interioranos (FELIPE; CARVALHO; ROCHA, 2006).</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Além dos grandes projetos citados, a atuação governamental viabilizou também a construção de sistemas de captação de pequeno porte em centenas de comunidades do RN, tais como cisternas e barragens subterrâneas, que têm um papel importante para aumentar a segurança hídrica da população residente no referido estado, especialmente os habitantes das áreas rurais. Conjuntamente, essas tecnologias de convivência com a seca trazem maior resiliência para o sertanejo em épocas de estiagens ocorridas no espaço geográfico potiguar.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Mas, apesar da importância das ações realizadas, a infraestrutura hídrica do RN não tem sido suficiente para atender a demanda da população em todas as áreas do estado. Isso porque, não obstante às melhorias ocorridas em relação às formas de mitigação dos efeitos da escassez de chuvas, as condições de acesso à água se reduzem significativamente à medida que a estiagem se estende por anos seguidos, como é o caso do período ininterrupto de seca entre 2012 e 2016. Muito embora o ano de 2011 tenha apresentado um bom inverno, com índice de chuvas normais (ver Quadro </w:t>
      </w:r>
      <w:proofErr w:type="gramStart"/>
      <w:r w:rsidRPr="00716054">
        <w:rPr>
          <w:rFonts w:ascii="Times New Roman" w:hAnsi="Times New Roman"/>
          <w:sz w:val="24"/>
          <w:szCs w:val="24"/>
        </w:rPr>
        <w:t>1</w:t>
      </w:r>
      <w:proofErr w:type="gramEnd"/>
      <w:r w:rsidRPr="00716054">
        <w:rPr>
          <w:rFonts w:ascii="Times New Roman" w:hAnsi="Times New Roman"/>
          <w:sz w:val="24"/>
          <w:szCs w:val="24"/>
        </w:rPr>
        <w:t>), logo que se inicia o referido período de insuficiência de pluviométrica há um rápido esgotamento das reservas de água.</w:t>
      </w:r>
    </w:p>
    <w:p w:rsidR="00CC306B"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Para ilustrar, no Gráfico </w:t>
      </w:r>
      <w:proofErr w:type="gramStart"/>
      <w:r w:rsidRPr="00716054">
        <w:rPr>
          <w:rFonts w:ascii="Times New Roman" w:hAnsi="Times New Roman"/>
          <w:sz w:val="24"/>
          <w:szCs w:val="24"/>
        </w:rPr>
        <w:t>1</w:t>
      </w:r>
      <w:proofErr w:type="gramEnd"/>
      <w:r w:rsidRPr="00716054">
        <w:rPr>
          <w:rFonts w:ascii="Times New Roman" w:hAnsi="Times New Roman"/>
          <w:sz w:val="24"/>
          <w:szCs w:val="24"/>
        </w:rPr>
        <w:t>, destacado a seguir, são apresentadas informações da Agência Nacional de Águas (ANA) sobre os níveis dos reservatórios públicos de água do RN. Nele, percebe-se que em março de 2012 os reservatórios potiguares contavam com um volume médio em torno de 75% de sua capacidade total, ou seja, dispunham de um volume significativo de água armazenada. Esta quantidade se reduziu substancialmente logo após o primeiro ano de seca, caindo para uma média de 46% em relação à capacidade volumétrica das reservas estaduais. Já no ano de 2016, a quantidade de água disponível correspondia apenas a 20% da capacidade total de armazenamento norte-rio-grandense, com tendência declinante.</w:t>
      </w:r>
    </w:p>
    <w:p w:rsidR="00F26A84" w:rsidRDefault="00F26A84" w:rsidP="00F26A84">
      <w:pPr>
        <w:autoSpaceDE w:val="0"/>
        <w:autoSpaceDN w:val="0"/>
        <w:adjustRightInd w:val="0"/>
        <w:spacing w:after="0" w:line="360" w:lineRule="auto"/>
        <w:jc w:val="both"/>
        <w:rPr>
          <w:rFonts w:ascii="Times New Roman" w:hAnsi="Times New Roman"/>
          <w:sz w:val="24"/>
          <w:szCs w:val="24"/>
        </w:rPr>
      </w:pPr>
    </w:p>
    <w:p w:rsidR="0027796D" w:rsidRPr="00716054" w:rsidRDefault="0027796D" w:rsidP="00131E57">
      <w:pPr>
        <w:pStyle w:val="Legenda"/>
        <w:spacing w:after="0" w:line="360" w:lineRule="auto"/>
        <w:jc w:val="both"/>
        <w:rPr>
          <w:rFonts w:ascii="Times New Roman" w:hAnsi="Times New Roman" w:cs="Times New Roman"/>
          <w:color w:val="auto"/>
          <w:sz w:val="24"/>
          <w:szCs w:val="24"/>
        </w:rPr>
      </w:pPr>
      <w:bookmarkStart w:id="3" w:name="_Toc486535273"/>
      <w:r w:rsidRPr="00716054">
        <w:rPr>
          <w:rFonts w:ascii="Times New Roman" w:hAnsi="Times New Roman" w:cs="Times New Roman"/>
          <w:color w:val="auto"/>
          <w:sz w:val="24"/>
          <w:szCs w:val="24"/>
        </w:rPr>
        <w:lastRenderedPageBreak/>
        <w:t xml:space="preserve">Gráfico </w:t>
      </w:r>
      <w:r w:rsidRPr="00716054">
        <w:rPr>
          <w:rFonts w:ascii="Times New Roman" w:hAnsi="Times New Roman" w:cs="Times New Roman"/>
          <w:color w:val="auto"/>
          <w:sz w:val="24"/>
          <w:szCs w:val="24"/>
        </w:rPr>
        <w:fldChar w:fldCharType="begin"/>
      </w:r>
      <w:r w:rsidRPr="00716054">
        <w:rPr>
          <w:rFonts w:ascii="Times New Roman" w:hAnsi="Times New Roman" w:cs="Times New Roman"/>
          <w:color w:val="auto"/>
          <w:sz w:val="24"/>
          <w:szCs w:val="24"/>
        </w:rPr>
        <w:instrText xml:space="preserve"> SEQ Gráfico \* ARABIC </w:instrText>
      </w:r>
      <w:r w:rsidRPr="00716054">
        <w:rPr>
          <w:rFonts w:ascii="Times New Roman" w:hAnsi="Times New Roman" w:cs="Times New Roman"/>
          <w:color w:val="auto"/>
          <w:sz w:val="24"/>
          <w:szCs w:val="24"/>
        </w:rPr>
        <w:fldChar w:fldCharType="separate"/>
      </w:r>
      <w:r w:rsidR="00DA27F4">
        <w:rPr>
          <w:rFonts w:ascii="Times New Roman" w:hAnsi="Times New Roman" w:cs="Times New Roman"/>
          <w:noProof/>
          <w:color w:val="auto"/>
          <w:sz w:val="24"/>
          <w:szCs w:val="24"/>
        </w:rPr>
        <w:t>1</w:t>
      </w:r>
      <w:r w:rsidRPr="00716054">
        <w:rPr>
          <w:rFonts w:ascii="Times New Roman" w:hAnsi="Times New Roman" w:cs="Times New Roman"/>
          <w:color w:val="auto"/>
          <w:sz w:val="24"/>
          <w:szCs w:val="24"/>
        </w:rPr>
        <w:fldChar w:fldCharType="end"/>
      </w:r>
      <w:r w:rsidRPr="00716054">
        <w:rPr>
          <w:rFonts w:ascii="Times New Roman" w:hAnsi="Times New Roman" w:cs="Times New Roman"/>
          <w:color w:val="auto"/>
          <w:sz w:val="24"/>
          <w:szCs w:val="24"/>
        </w:rPr>
        <w:t xml:space="preserve"> – Evolução percentual dos volumes de água armazenados nos reservatórios do Rio Grande do Norte – </w:t>
      </w:r>
      <w:smartTag w:uri="urn:schemas-microsoft-com:office:smarttags" w:element="metricconverter">
        <w:smartTagPr>
          <w:attr w:name="ProductID" w:val="2012 a"/>
        </w:smartTagPr>
        <w:r w:rsidRPr="00716054">
          <w:rPr>
            <w:rFonts w:ascii="Times New Roman" w:hAnsi="Times New Roman" w:cs="Times New Roman"/>
            <w:color w:val="auto"/>
            <w:sz w:val="24"/>
            <w:szCs w:val="24"/>
          </w:rPr>
          <w:t>2012 a</w:t>
        </w:r>
      </w:smartTag>
      <w:r w:rsidRPr="00716054">
        <w:rPr>
          <w:rFonts w:ascii="Times New Roman" w:hAnsi="Times New Roman" w:cs="Times New Roman"/>
          <w:color w:val="auto"/>
          <w:sz w:val="24"/>
          <w:szCs w:val="24"/>
        </w:rPr>
        <w:t xml:space="preserve"> 201</w:t>
      </w:r>
      <w:bookmarkEnd w:id="3"/>
      <w:r w:rsidRPr="00716054">
        <w:rPr>
          <w:rFonts w:ascii="Times New Roman" w:hAnsi="Times New Roman" w:cs="Times New Roman"/>
          <w:color w:val="auto"/>
          <w:sz w:val="24"/>
          <w:szCs w:val="24"/>
        </w:rPr>
        <w:t>6</w:t>
      </w:r>
    </w:p>
    <w:p w:rsidR="00CC306B" w:rsidRPr="00716054" w:rsidRDefault="00CC306B" w:rsidP="00131E57">
      <w:pPr>
        <w:pStyle w:val="Legenda"/>
        <w:spacing w:after="0" w:line="360" w:lineRule="auto"/>
        <w:jc w:val="both"/>
        <w:rPr>
          <w:rFonts w:ascii="Times New Roman" w:hAnsi="Times New Roman" w:cs="Times New Roman"/>
          <w:color w:val="auto"/>
          <w:sz w:val="24"/>
          <w:szCs w:val="24"/>
        </w:rPr>
      </w:pPr>
      <w:r w:rsidRPr="00716054">
        <w:rPr>
          <w:rFonts w:ascii="Times New Roman" w:hAnsi="Times New Roman" w:cs="Times New Roman"/>
          <w:noProof/>
        </w:rPr>
        <w:drawing>
          <wp:inline distT="0" distB="0" distL="0" distR="0" wp14:anchorId="23EAE5F3" wp14:editId="0584587F">
            <wp:extent cx="5786323" cy="1953158"/>
            <wp:effectExtent l="0" t="0" r="24130" b="952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C306B" w:rsidRPr="00716054" w:rsidRDefault="00CC306B" w:rsidP="00131E57">
      <w:pPr>
        <w:spacing w:after="0" w:line="360" w:lineRule="auto"/>
        <w:rPr>
          <w:rFonts w:ascii="Times New Roman" w:hAnsi="Times New Roman"/>
        </w:rPr>
      </w:pPr>
      <w:r w:rsidRPr="00716054">
        <w:rPr>
          <w:rFonts w:ascii="Times New Roman" w:hAnsi="Times New Roman"/>
          <w:b/>
          <w:sz w:val="20"/>
          <w:szCs w:val="20"/>
        </w:rPr>
        <w:t>Fonte:</w:t>
      </w:r>
      <w:r w:rsidRPr="00716054">
        <w:rPr>
          <w:rFonts w:ascii="Times New Roman" w:hAnsi="Times New Roman"/>
          <w:sz w:val="20"/>
          <w:szCs w:val="20"/>
        </w:rPr>
        <w:t xml:space="preserve"> ANA (2017).</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A evolução dos estoques hídricos armazenados nos reservatórios localizados no espaço geográfico potiguar confirma que durante os primeiros anos de seca os açudes e barragens dispunham de um volume elevado de água para abastecer o estado. Contudo, o rigor da seca de 2012/2016 se acentuou a cada ano, em virtude do baixo índice de precipitações e dos altos níveis de evaporação registrados no período. À medida que o estio foi se prolongando e as necessidades de consumo de água se elevaram, e diante do colapso nas reservas hídricas locais, verificou-se uma redução substancial na disponibilidade de tal recurso para a população potiguar.</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Os dados apresentados reforçam as constatações de Felipe, Rocha e Carvalho (2009). Tais autores afirmam que mesmo diante do adensamento de uma significativa rede de açudes com capacidades volumétricas de portes variados pelo espaço do potiguar, e ainda que os mesmos transbordem em períodos chuvosos, não são armazenadas quantidades de água suficientes para garantir o suprimento das demandas populacionais em períodos de estiagem prolongada. Esse fato ocorre porque as perdas com evaporação em anos de seca neutralizam grande parte dos benefícios obtidos pelo seu represamento.</w:t>
      </w:r>
    </w:p>
    <w:p w:rsidR="00CC306B" w:rsidRPr="00716054" w:rsidRDefault="00CC306B" w:rsidP="00131E57">
      <w:pPr>
        <w:autoSpaceDE w:val="0"/>
        <w:autoSpaceDN w:val="0"/>
        <w:adjustRightInd w:val="0"/>
        <w:spacing w:after="0" w:line="360" w:lineRule="auto"/>
        <w:ind w:firstLine="708"/>
        <w:jc w:val="both"/>
        <w:rPr>
          <w:rFonts w:ascii="Times New Roman" w:hAnsi="Times New Roman"/>
          <w:b/>
          <w:sz w:val="24"/>
          <w:szCs w:val="24"/>
        </w:rPr>
      </w:pPr>
      <w:r w:rsidRPr="00716054">
        <w:rPr>
          <w:rFonts w:ascii="Times New Roman" w:hAnsi="Times New Roman"/>
          <w:sz w:val="24"/>
          <w:szCs w:val="24"/>
        </w:rPr>
        <w:t>Segundo Araújo (2015), as reservas de água norte-rio-grandenses, após quatro anos de seca, entraram em situação crítica, comprometendo a distribuição de água potável para o consumo da população, bem como para outras finalidades. No ano de 2015, diante da queda na disponibilidade deste recurso escasso, e como forma de racionalizar seu uso, o governo estadual, em conjunto como a ANA, regulamentou a redução da vazão da Barragem Engenheiro Armando Ribeiro Gonçalves, maior represa do estado, que passou de seis metros cúbicos para quatro metros cúbicos de água por segundo, cuja distribuição deveria priorizar o fornecimento hídrico para o consumo humano.</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É evidente, então, que mesmo existindo um longo histórico de tentativas de “enfrentamento” das secas no RN, a população estadual segue tendo suas atividades econômicas abaladas diante deste tipo de evento climático. Em 2015, por exemplo, dentre os 153 municípios abastecidos pela Companhia de Águas e Esgotos do Rio Grande do Norte (CAERN), 80 se encontravam em rodízio em seu fornecimento, ou seja, 52% dos municípios que recebem a água pelo sistema da referida empresa tiveram seu abastecimento reduzido. Em outras 11 cidades potiguares, a situação era de colapso e o acesso à água por parte de seus habitantes se dava mediante o uso de carro-pipa. Isso significa que ao menos 59% dos municípios abastecidos pela CAERN estavam sofrendo sérias dificul</w:t>
      </w:r>
      <w:bookmarkStart w:id="4" w:name="_Toc486535274"/>
      <w:r w:rsidRPr="00716054">
        <w:rPr>
          <w:rFonts w:ascii="Times New Roman" w:hAnsi="Times New Roman"/>
          <w:sz w:val="24"/>
          <w:szCs w:val="24"/>
        </w:rPr>
        <w:t>dades de acesso à água potável (ARAÚJO, 2015).</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De maneira complementar, </w:t>
      </w:r>
      <w:r w:rsidR="00F26A84">
        <w:rPr>
          <w:rFonts w:ascii="Times New Roman" w:hAnsi="Times New Roman"/>
          <w:sz w:val="24"/>
          <w:szCs w:val="24"/>
        </w:rPr>
        <w:t xml:space="preserve">o relatório da </w:t>
      </w:r>
      <w:r w:rsidR="00F26A84" w:rsidRPr="00F26A84">
        <w:rPr>
          <w:rFonts w:ascii="Times New Roman" w:hAnsi="Times New Roman"/>
          <w:sz w:val="24"/>
          <w:szCs w:val="24"/>
        </w:rPr>
        <w:t>SEMARH (2016)</w:t>
      </w:r>
      <w:r w:rsidR="00F26A84">
        <w:rPr>
          <w:rFonts w:ascii="Times New Roman" w:hAnsi="Times New Roman"/>
          <w:sz w:val="24"/>
          <w:szCs w:val="24"/>
        </w:rPr>
        <w:t xml:space="preserve"> indica que, em 2016, ao menos </w:t>
      </w:r>
      <w:r w:rsidRPr="00716054">
        <w:rPr>
          <w:rFonts w:ascii="Times New Roman" w:hAnsi="Times New Roman"/>
          <w:sz w:val="24"/>
          <w:szCs w:val="24"/>
        </w:rPr>
        <w:t xml:space="preserve">20 dos 45 reservatórios de água do estado encontravam-se completamente secos, ou seja, 44% das fontes de água utilizadas para o abastecimento dos municípios potiguares haviam se esgotado. Por outro lado, somente um dos </w:t>
      </w:r>
      <w:r w:rsidR="00287EED">
        <w:rPr>
          <w:rFonts w:ascii="Times New Roman" w:hAnsi="Times New Roman"/>
          <w:sz w:val="24"/>
          <w:szCs w:val="24"/>
        </w:rPr>
        <w:t xml:space="preserve">açudes públicos </w:t>
      </w:r>
      <w:r w:rsidR="00AB7647">
        <w:rPr>
          <w:rFonts w:ascii="Times New Roman" w:hAnsi="Times New Roman"/>
          <w:sz w:val="24"/>
          <w:szCs w:val="24"/>
        </w:rPr>
        <w:t>situados no território potiguar</w:t>
      </w:r>
      <w:r w:rsidR="00287EED">
        <w:rPr>
          <w:rFonts w:ascii="Times New Roman" w:hAnsi="Times New Roman"/>
          <w:sz w:val="24"/>
          <w:szCs w:val="24"/>
        </w:rPr>
        <w:t xml:space="preserve"> </w:t>
      </w:r>
      <w:r w:rsidR="00AB7647">
        <w:rPr>
          <w:rFonts w:ascii="Times New Roman" w:hAnsi="Times New Roman"/>
          <w:sz w:val="24"/>
          <w:szCs w:val="24"/>
        </w:rPr>
        <w:t>(</w:t>
      </w:r>
      <w:r w:rsidR="00287EED">
        <w:rPr>
          <w:rFonts w:ascii="Times New Roman" w:hAnsi="Times New Roman"/>
          <w:sz w:val="24"/>
          <w:szCs w:val="24"/>
        </w:rPr>
        <w:t>localizado no pequeno município de Encanto</w:t>
      </w:r>
      <w:r w:rsidR="00AB7647">
        <w:rPr>
          <w:rFonts w:ascii="Times New Roman" w:hAnsi="Times New Roman"/>
          <w:sz w:val="24"/>
          <w:szCs w:val="24"/>
        </w:rPr>
        <w:t>)</w:t>
      </w:r>
      <w:r w:rsidRPr="00716054">
        <w:rPr>
          <w:rFonts w:ascii="Times New Roman" w:hAnsi="Times New Roman"/>
          <w:sz w:val="24"/>
          <w:szCs w:val="24"/>
        </w:rPr>
        <w:t xml:space="preserve"> dispunha de mais de 50% de sua capacidade de armazenamento, demonstrando a dramaticidade da situação da oferta hídrica estadual</w:t>
      </w:r>
      <w:r w:rsidR="00F26A84">
        <w:rPr>
          <w:rFonts w:ascii="Times New Roman" w:hAnsi="Times New Roman"/>
          <w:sz w:val="24"/>
          <w:szCs w:val="24"/>
        </w:rPr>
        <w:t xml:space="preserve"> durante o período</w:t>
      </w:r>
      <w:r w:rsidRPr="00716054">
        <w:rPr>
          <w:rFonts w:ascii="Times New Roman" w:hAnsi="Times New Roman"/>
          <w:sz w:val="24"/>
          <w:szCs w:val="24"/>
        </w:rPr>
        <w:t>.</w:t>
      </w:r>
    </w:p>
    <w:bookmarkEnd w:id="4"/>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Logo, verifica-se que a seca de 2012 a 2016 promoveu uma crise hídrica de elevada magnitude que se abateu sobre a maioria dos municípios norte-rio-grandenses. Porém, deve-se sublinhar que o problema incide sobre um ambiente social muito mais favorável para o habitante rural do semiárido do que nas crises hídricas passadas, o que se aplica também ao espaço geográfico do RN. Isto porque as políticas sociais se expandiram substancialmente no início do presente século, trazendo uma maior resistência para os grupos populacionais empobrecidos, que, historicamente, sofrem os maiores prejuízos decorrentes das secas periódicas (ARAÚJO; LIMA, 2009; CARVALHO, 2014; MAIA GOMES, 2001).</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 expansão do emprego público e das aposentadorias rurais, bem como a criação de programas de transferência de renda (Bolsa Família, Bolsa Estiagem e Garantia-Safra) representam mecanismos de sustentação econômica de extrema relevância para os grupos sociais carentes, que passaram a apresentar maior resiliência à escassez pluviométrica (AQUINO; LACERDA, 2014; AQUINO; NASCIMENTO, 2015; OLIVEIRA, 2017). A maior capacidade de lidar com os aspectos climáticos adversos na área semiárida do estado potiguar permitiu aos seus habitantes a permanência no campo, pois conferiu aos mesmos a possiblidade de garantir precariamente os seus meios de subsistência. </w:t>
      </w:r>
    </w:p>
    <w:p w:rsidR="00CC306B" w:rsidRPr="00716054" w:rsidRDefault="00CC306B" w:rsidP="00131E57">
      <w:pPr>
        <w:autoSpaceDE w:val="0"/>
        <w:autoSpaceDN w:val="0"/>
        <w:adjustRightInd w:val="0"/>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 xml:space="preserve">Nesse contexto, diferentemente dos anos 1980 e do início dos anos 1990, o RN assiste a uma “seca sem migração”, o que representa uma novidade histórica. No entanto, embora os agricultores pobres e extremamente pobres do sertão consigam resistir às adversidades climáticas inerentes ao meio em que </w:t>
      </w:r>
      <w:proofErr w:type="gramStart"/>
      <w:r w:rsidRPr="00716054">
        <w:rPr>
          <w:rFonts w:ascii="Times New Roman" w:hAnsi="Times New Roman"/>
          <w:sz w:val="24"/>
          <w:szCs w:val="24"/>
        </w:rPr>
        <w:t>vivem</w:t>
      </w:r>
      <w:proofErr w:type="gramEnd"/>
      <w:r w:rsidRPr="00716054">
        <w:rPr>
          <w:rFonts w:ascii="Times New Roman" w:hAnsi="Times New Roman"/>
          <w:sz w:val="24"/>
          <w:szCs w:val="24"/>
        </w:rPr>
        <w:t>, a agropecuária de sequeiro produtora de alimentos continua sofrendo abalos com a incidência das estiagens prolongadas, tendo em vista que é um tipo de ocupação que possui alta dependência em relação à pluviometria. Ademais, a maioria dos produtores locais não dispõe de tecnologias de convivência com a seca, o que torna suas lavouras e seus rebanhos vulneráveis e sujeitos a perdas de larga escala. É o que se procurará mostrar nas próximas seções.</w:t>
      </w:r>
    </w:p>
    <w:p w:rsidR="00CC306B" w:rsidRPr="00716054" w:rsidRDefault="00CC306B" w:rsidP="00131E57">
      <w:pPr>
        <w:autoSpaceDE w:val="0"/>
        <w:autoSpaceDN w:val="0"/>
        <w:adjustRightInd w:val="0"/>
        <w:spacing w:after="0" w:line="360" w:lineRule="auto"/>
        <w:jc w:val="both"/>
        <w:rPr>
          <w:rFonts w:ascii="Times New Roman" w:hAnsi="Times New Roman"/>
          <w:sz w:val="24"/>
          <w:szCs w:val="24"/>
        </w:rPr>
      </w:pPr>
      <w:bookmarkStart w:id="5" w:name="_Toc484048913"/>
    </w:p>
    <w:p w:rsidR="00CC306B" w:rsidRPr="00716054" w:rsidRDefault="00CC306B" w:rsidP="00131E57">
      <w:pPr>
        <w:autoSpaceDE w:val="0"/>
        <w:autoSpaceDN w:val="0"/>
        <w:adjustRightInd w:val="0"/>
        <w:spacing w:after="0" w:line="360" w:lineRule="auto"/>
        <w:jc w:val="both"/>
        <w:rPr>
          <w:rFonts w:ascii="Times New Roman" w:hAnsi="Times New Roman"/>
          <w:b/>
          <w:sz w:val="24"/>
          <w:szCs w:val="24"/>
        </w:rPr>
      </w:pPr>
      <w:r w:rsidRPr="00716054">
        <w:rPr>
          <w:rFonts w:ascii="Times New Roman" w:hAnsi="Times New Roman"/>
          <w:b/>
          <w:sz w:val="24"/>
          <w:szCs w:val="24"/>
        </w:rPr>
        <w:t>3 – EFEITOS DA GRANDE SECA NAS LAVOURAS TEMPORÁRIAS</w:t>
      </w:r>
      <w:bookmarkEnd w:id="5"/>
      <w:r w:rsidRPr="00716054">
        <w:rPr>
          <w:rFonts w:ascii="Times New Roman" w:hAnsi="Times New Roman"/>
          <w:b/>
          <w:sz w:val="24"/>
          <w:szCs w:val="24"/>
        </w:rPr>
        <w:t xml:space="preserve"> E PERMANENTES NORTE-RIO-GRANDENSES</w:t>
      </w:r>
    </w:p>
    <w:p w:rsidR="00CC306B" w:rsidRPr="00716054" w:rsidRDefault="00054743" w:rsidP="00131E57">
      <w:pPr>
        <w:tabs>
          <w:tab w:val="left" w:pos="-567"/>
        </w:tabs>
        <w:spacing w:after="0" w:line="360" w:lineRule="auto"/>
        <w:jc w:val="both"/>
        <w:rPr>
          <w:rFonts w:ascii="Times New Roman" w:hAnsi="Times New Roman"/>
          <w:sz w:val="24"/>
          <w:szCs w:val="24"/>
        </w:rPr>
      </w:pPr>
      <w:r>
        <w:rPr>
          <w:rFonts w:ascii="Times New Roman" w:hAnsi="Times New Roman"/>
          <w:sz w:val="24"/>
          <w:szCs w:val="24"/>
        </w:rPr>
        <w:tab/>
      </w:r>
      <w:r w:rsidR="00CC306B" w:rsidRPr="00716054">
        <w:rPr>
          <w:rFonts w:ascii="Times New Roman" w:hAnsi="Times New Roman"/>
          <w:sz w:val="24"/>
          <w:szCs w:val="24"/>
        </w:rPr>
        <w:t xml:space="preserve">A agricultura do RN é extremamente vulnerável ao fenômeno das secas, haja vista que se desenvolve majoritariamente em regime de sequeiro, à exceção das lavouras mais capitalizadas como a fruticultura de exportação. Isto fica claro, por exemplo, quando se analisa os dados do Censo Agropecuário 2006, do IBGE, aonde se constata a modesta utilização da tecnologia de irrigação que alcança apenas 8,13% dos estabelecimentos agropecuários norte-rio-grandenses (IBGE/SIDRA, 2012). O tamanho médio reduzido das propriedades, bem como a falta de assistência técnica, completam o quadro de sua fragilidade diante de estiagens prolongadas, como a grande seca de 2012 a 2016. Esta afirmação ganha concretude quando </w:t>
      </w:r>
      <w:proofErr w:type="gramStart"/>
      <w:r w:rsidR="00CC306B" w:rsidRPr="00716054">
        <w:rPr>
          <w:rFonts w:ascii="Times New Roman" w:hAnsi="Times New Roman"/>
          <w:sz w:val="24"/>
          <w:szCs w:val="24"/>
        </w:rPr>
        <w:t>analisa-se</w:t>
      </w:r>
      <w:proofErr w:type="gramEnd"/>
      <w:r w:rsidR="00CC306B" w:rsidRPr="00716054">
        <w:rPr>
          <w:rFonts w:ascii="Times New Roman" w:hAnsi="Times New Roman"/>
          <w:sz w:val="24"/>
          <w:szCs w:val="24"/>
        </w:rPr>
        <w:t xml:space="preserve"> o comportamento recente das culturas temporárias e permanentes do estado. </w:t>
      </w:r>
    </w:p>
    <w:p w:rsidR="00CC306B" w:rsidRPr="00716054" w:rsidRDefault="00054743" w:rsidP="00131E57">
      <w:pPr>
        <w:tabs>
          <w:tab w:val="left" w:pos="0"/>
        </w:tabs>
        <w:spacing w:after="0" w:line="360" w:lineRule="auto"/>
        <w:jc w:val="both"/>
        <w:rPr>
          <w:rFonts w:ascii="Times New Roman" w:hAnsi="Times New Roman"/>
          <w:sz w:val="24"/>
          <w:szCs w:val="24"/>
        </w:rPr>
      </w:pPr>
      <w:r>
        <w:rPr>
          <w:rFonts w:ascii="Times New Roman" w:hAnsi="Times New Roman"/>
          <w:sz w:val="24"/>
          <w:szCs w:val="24"/>
        </w:rPr>
        <w:tab/>
      </w:r>
      <w:r w:rsidR="00CC306B" w:rsidRPr="00716054">
        <w:rPr>
          <w:rFonts w:ascii="Times New Roman" w:hAnsi="Times New Roman"/>
          <w:sz w:val="24"/>
          <w:szCs w:val="24"/>
        </w:rPr>
        <w:t xml:space="preserve">As lavouras temporárias, que são responsáveis pela maior parte da produção de riqueza do setor primário potiguar (FREIRE, 2017), foram distribuídas em categorias representadas na Tabela 1, na qual é apresentada a evolução da sua produção no período de 2011 a 2016. O ano de 2011, considerado de inverno normal (ver Quadro </w:t>
      </w:r>
      <w:proofErr w:type="gramStart"/>
      <w:r w:rsidR="00CC306B" w:rsidRPr="00716054">
        <w:rPr>
          <w:rFonts w:ascii="Times New Roman" w:hAnsi="Times New Roman"/>
          <w:sz w:val="24"/>
          <w:szCs w:val="24"/>
        </w:rPr>
        <w:t>1</w:t>
      </w:r>
      <w:proofErr w:type="gramEnd"/>
      <w:r w:rsidR="00CC306B" w:rsidRPr="00716054">
        <w:rPr>
          <w:rFonts w:ascii="Times New Roman" w:hAnsi="Times New Roman"/>
          <w:sz w:val="24"/>
          <w:szCs w:val="24"/>
        </w:rPr>
        <w:t xml:space="preserve">), foi escolhido como parâmetro de comparação com os anos de seca. Ao realizar uma análise entre o período da estiagem de 2012/2016 com o ano normal de 2011, observa-se que o grupo de lavouras capitalizadas formado por Biomassa (cana-de-açúcar) e Frutas apresentou elevação nas quantidades produzidas em todos os anos abrangidos pela referida tabela. </w:t>
      </w:r>
    </w:p>
    <w:p w:rsidR="00CC306B" w:rsidRPr="00716054" w:rsidRDefault="00054743" w:rsidP="00131E57">
      <w:pPr>
        <w:tabs>
          <w:tab w:val="left" w:pos="-426"/>
        </w:tabs>
        <w:spacing w:after="0" w:line="360" w:lineRule="auto"/>
        <w:jc w:val="both"/>
        <w:rPr>
          <w:rFonts w:ascii="Times New Roman" w:hAnsi="Times New Roman"/>
          <w:sz w:val="24"/>
          <w:szCs w:val="24"/>
        </w:rPr>
      </w:pPr>
      <w:r>
        <w:rPr>
          <w:rFonts w:ascii="Times New Roman" w:hAnsi="Times New Roman"/>
          <w:sz w:val="24"/>
          <w:szCs w:val="24"/>
        </w:rPr>
        <w:tab/>
      </w:r>
      <w:r w:rsidR="00CC306B" w:rsidRPr="00716054">
        <w:rPr>
          <w:rFonts w:ascii="Times New Roman" w:hAnsi="Times New Roman"/>
          <w:sz w:val="24"/>
          <w:szCs w:val="24"/>
        </w:rPr>
        <w:t xml:space="preserve">No que diz respeito à Biomassa (cana-de-açúcar), os maiores ganhos concentraram-se nos anos de 2012, quando a quantidade produzida elevou-se em +19,16%, e em 2014, quando a produção aumentou +8,86% em comparação com o ano de 2011. </w:t>
      </w:r>
      <w:bookmarkStart w:id="6" w:name="_Toc486534689"/>
      <w:r w:rsidR="00CC306B" w:rsidRPr="00716054">
        <w:rPr>
          <w:rFonts w:ascii="Times New Roman" w:hAnsi="Times New Roman"/>
          <w:sz w:val="24"/>
          <w:szCs w:val="24"/>
        </w:rPr>
        <w:t xml:space="preserve">Já o segmento Frutas apresentou valores positivos em todo o período analisado, especialmente no ano de 2012, </w:t>
      </w:r>
      <w:r w:rsidR="00CC306B" w:rsidRPr="00716054">
        <w:rPr>
          <w:rFonts w:ascii="Times New Roman" w:hAnsi="Times New Roman"/>
          <w:sz w:val="24"/>
          <w:szCs w:val="24"/>
        </w:rPr>
        <w:lastRenderedPageBreak/>
        <w:t xml:space="preserve">quando tais lavouras aumentaram +14,09% sua produção, e em 2016, quando a quantidade produzida se elevou +22,60% (Tabela 1). Esse desempenho positivo evidencia a elevada </w:t>
      </w:r>
      <w:r w:rsidR="00E35203">
        <w:rPr>
          <w:rFonts w:ascii="Times New Roman" w:hAnsi="Times New Roman"/>
          <w:sz w:val="24"/>
          <w:szCs w:val="24"/>
        </w:rPr>
        <w:t>capacidade de resiliência</w:t>
      </w:r>
      <w:r w:rsidR="00CC306B" w:rsidRPr="00716054">
        <w:rPr>
          <w:rFonts w:ascii="Times New Roman" w:hAnsi="Times New Roman"/>
          <w:sz w:val="24"/>
          <w:szCs w:val="24"/>
        </w:rPr>
        <w:t xml:space="preserve"> da fruticultura irrigada no RN e a disponibilidade de água para o seu desenvolvimento, pois mesmo em um período de estiagem prolongada </w:t>
      </w:r>
      <w:proofErr w:type="gramStart"/>
      <w:r w:rsidR="00CC306B" w:rsidRPr="00716054">
        <w:rPr>
          <w:rFonts w:ascii="Times New Roman" w:hAnsi="Times New Roman"/>
          <w:sz w:val="24"/>
          <w:szCs w:val="24"/>
        </w:rPr>
        <w:t>a</w:t>
      </w:r>
      <w:proofErr w:type="gramEnd"/>
      <w:r w:rsidR="00CC306B" w:rsidRPr="00716054">
        <w:rPr>
          <w:rFonts w:ascii="Times New Roman" w:hAnsi="Times New Roman"/>
          <w:sz w:val="24"/>
          <w:szCs w:val="24"/>
        </w:rPr>
        <w:t xml:space="preserve"> atividade continuou se expandindo.</w:t>
      </w:r>
    </w:p>
    <w:p w:rsidR="00CC306B" w:rsidRPr="00716054" w:rsidRDefault="00CC306B" w:rsidP="00131E57">
      <w:pPr>
        <w:spacing w:after="0" w:line="240" w:lineRule="auto"/>
        <w:jc w:val="both"/>
        <w:rPr>
          <w:rFonts w:ascii="Times New Roman" w:hAnsi="Times New Roman"/>
          <w:b/>
          <w:sz w:val="24"/>
          <w:szCs w:val="24"/>
        </w:rPr>
      </w:pPr>
      <w:r w:rsidRPr="00716054">
        <w:rPr>
          <w:rFonts w:ascii="Times New Roman" w:hAnsi="Times New Roman"/>
          <w:b/>
          <w:sz w:val="24"/>
          <w:szCs w:val="24"/>
        </w:rPr>
        <w:t xml:space="preserve">Tabela </w:t>
      </w:r>
      <w:r w:rsidRPr="00716054">
        <w:rPr>
          <w:rFonts w:ascii="Times New Roman" w:hAnsi="Times New Roman"/>
          <w:b/>
          <w:sz w:val="24"/>
          <w:szCs w:val="24"/>
        </w:rPr>
        <w:fldChar w:fldCharType="begin"/>
      </w:r>
      <w:r w:rsidRPr="00716054">
        <w:rPr>
          <w:rFonts w:ascii="Times New Roman" w:hAnsi="Times New Roman"/>
          <w:b/>
          <w:sz w:val="24"/>
          <w:szCs w:val="24"/>
        </w:rPr>
        <w:instrText xml:space="preserve"> SEQ Tabela \* ARABIC </w:instrText>
      </w:r>
      <w:r w:rsidRPr="00716054">
        <w:rPr>
          <w:rFonts w:ascii="Times New Roman" w:hAnsi="Times New Roman"/>
          <w:b/>
          <w:sz w:val="24"/>
          <w:szCs w:val="24"/>
        </w:rPr>
        <w:fldChar w:fldCharType="separate"/>
      </w:r>
      <w:r w:rsidR="00DA27F4">
        <w:rPr>
          <w:rFonts w:ascii="Times New Roman" w:hAnsi="Times New Roman"/>
          <w:b/>
          <w:noProof/>
          <w:sz w:val="24"/>
          <w:szCs w:val="24"/>
        </w:rPr>
        <w:t>1</w:t>
      </w:r>
      <w:r w:rsidRPr="00716054">
        <w:rPr>
          <w:rFonts w:ascii="Times New Roman" w:hAnsi="Times New Roman"/>
          <w:b/>
          <w:sz w:val="24"/>
          <w:szCs w:val="24"/>
        </w:rPr>
        <w:fldChar w:fldCharType="end"/>
      </w:r>
      <w:r w:rsidRPr="00716054">
        <w:rPr>
          <w:rFonts w:ascii="Times New Roman" w:hAnsi="Times New Roman"/>
          <w:b/>
          <w:sz w:val="24"/>
          <w:szCs w:val="24"/>
        </w:rPr>
        <w:t xml:space="preserve"> – </w:t>
      </w:r>
      <w:bookmarkEnd w:id="6"/>
      <w:r w:rsidRPr="00716054">
        <w:rPr>
          <w:rFonts w:ascii="Times New Roman" w:hAnsi="Times New Roman"/>
          <w:b/>
          <w:sz w:val="24"/>
          <w:szCs w:val="24"/>
        </w:rPr>
        <w:t>Quantidade produzida (em toneladas) e variação percentual da produção das lavouras temporárias por categorias no Rio Grande do Norte – 2012 a 2016 em relação a 2011</w:t>
      </w:r>
    </w:p>
    <w:tbl>
      <w:tblPr>
        <w:tblW w:w="9087" w:type="dxa"/>
        <w:tblInd w:w="55" w:type="dxa"/>
        <w:tblLayout w:type="fixed"/>
        <w:tblCellMar>
          <w:left w:w="70" w:type="dxa"/>
          <w:right w:w="70" w:type="dxa"/>
        </w:tblCellMar>
        <w:tblLook w:val="04A0" w:firstRow="1" w:lastRow="0" w:firstColumn="1" w:lastColumn="0" w:noHBand="0" w:noVBand="1"/>
      </w:tblPr>
      <w:tblGrid>
        <w:gridCol w:w="928"/>
        <w:gridCol w:w="788"/>
        <w:gridCol w:w="709"/>
        <w:gridCol w:w="709"/>
        <w:gridCol w:w="709"/>
        <w:gridCol w:w="708"/>
        <w:gridCol w:w="709"/>
        <w:gridCol w:w="709"/>
        <w:gridCol w:w="709"/>
        <w:gridCol w:w="708"/>
        <w:gridCol w:w="709"/>
        <w:gridCol w:w="992"/>
      </w:tblGrid>
      <w:tr w:rsidR="00CC306B" w:rsidRPr="00777952" w:rsidTr="00EF757D">
        <w:trPr>
          <w:trHeight w:val="562"/>
        </w:trPr>
        <w:tc>
          <w:tcPr>
            <w:tcW w:w="928" w:type="dxa"/>
            <w:tcBorders>
              <w:top w:val="single" w:sz="8" w:space="0" w:color="auto"/>
              <w:left w:val="nil"/>
              <w:bottom w:val="single" w:sz="8" w:space="0" w:color="000000"/>
              <w:right w:val="single" w:sz="8" w:space="0" w:color="auto"/>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Lavouras (*)</w:t>
            </w:r>
          </w:p>
        </w:tc>
        <w:tc>
          <w:tcPr>
            <w:tcW w:w="788" w:type="dxa"/>
            <w:tcBorders>
              <w:top w:val="single" w:sz="8" w:space="0" w:color="auto"/>
              <w:left w:val="single" w:sz="8" w:space="0" w:color="auto"/>
              <w:bottom w:val="single" w:sz="8" w:space="0" w:color="000000"/>
              <w:right w:val="single" w:sz="8" w:space="0" w:color="auto"/>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2011</w:t>
            </w:r>
          </w:p>
        </w:tc>
        <w:tc>
          <w:tcPr>
            <w:tcW w:w="709" w:type="dxa"/>
            <w:tcBorders>
              <w:top w:val="single" w:sz="8" w:space="0" w:color="auto"/>
              <w:left w:val="single" w:sz="8" w:space="0" w:color="auto"/>
              <w:bottom w:val="single" w:sz="8" w:space="0" w:color="000000"/>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2012</w:t>
            </w:r>
          </w:p>
        </w:tc>
        <w:tc>
          <w:tcPr>
            <w:tcW w:w="709" w:type="dxa"/>
            <w:tcBorders>
              <w:top w:val="single" w:sz="8" w:space="0" w:color="auto"/>
              <w:left w:val="nil"/>
              <w:bottom w:val="single" w:sz="8" w:space="0" w:color="000000"/>
              <w:right w:val="single" w:sz="8" w:space="0" w:color="auto"/>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Var. % 2012/2011</w:t>
            </w:r>
          </w:p>
        </w:tc>
        <w:tc>
          <w:tcPr>
            <w:tcW w:w="709" w:type="dxa"/>
            <w:tcBorders>
              <w:top w:val="single" w:sz="8" w:space="0" w:color="auto"/>
              <w:left w:val="single" w:sz="8" w:space="0" w:color="auto"/>
              <w:bottom w:val="single" w:sz="8" w:space="0" w:color="000000"/>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2013</w:t>
            </w:r>
          </w:p>
        </w:tc>
        <w:tc>
          <w:tcPr>
            <w:tcW w:w="708" w:type="dxa"/>
            <w:tcBorders>
              <w:top w:val="single" w:sz="8" w:space="0" w:color="auto"/>
              <w:left w:val="nil"/>
              <w:bottom w:val="single" w:sz="8" w:space="0" w:color="000000" w:themeColor="text1"/>
              <w:right w:val="single" w:sz="8" w:space="0" w:color="auto"/>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Var. %</w:t>
            </w:r>
          </w:p>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2013/2011</w:t>
            </w:r>
          </w:p>
        </w:tc>
        <w:tc>
          <w:tcPr>
            <w:tcW w:w="709" w:type="dxa"/>
            <w:tcBorders>
              <w:top w:val="single" w:sz="8" w:space="0" w:color="auto"/>
              <w:left w:val="single" w:sz="8" w:space="0" w:color="auto"/>
              <w:bottom w:val="single" w:sz="8" w:space="0" w:color="000000"/>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2014</w:t>
            </w:r>
          </w:p>
        </w:tc>
        <w:tc>
          <w:tcPr>
            <w:tcW w:w="709" w:type="dxa"/>
            <w:tcBorders>
              <w:top w:val="single" w:sz="8" w:space="0" w:color="auto"/>
              <w:left w:val="nil"/>
              <w:bottom w:val="single" w:sz="8" w:space="0" w:color="000000" w:themeColor="text1"/>
              <w:right w:val="single" w:sz="8" w:space="0" w:color="auto"/>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Var. %</w:t>
            </w:r>
          </w:p>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2014/2011</w:t>
            </w:r>
          </w:p>
        </w:tc>
        <w:tc>
          <w:tcPr>
            <w:tcW w:w="709" w:type="dxa"/>
            <w:tcBorders>
              <w:top w:val="single" w:sz="8" w:space="0" w:color="auto"/>
              <w:left w:val="single" w:sz="8" w:space="0" w:color="auto"/>
              <w:bottom w:val="single" w:sz="8" w:space="0" w:color="000000" w:themeColor="text1"/>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2015</w:t>
            </w:r>
          </w:p>
        </w:tc>
        <w:tc>
          <w:tcPr>
            <w:tcW w:w="708" w:type="dxa"/>
            <w:tcBorders>
              <w:top w:val="single" w:sz="8" w:space="0" w:color="auto"/>
              <w:left w:val="nil"/>
              <w:bottom w:val="single" w:sz="8" w:space="0" w:color="000000" w:themeColor="text1"/>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Var. %</w:t>
            </w:r>
          </w:p>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2015/2011</w:t>
            </w:r>
          </w:p>
        </w:tc>
        <w:tc>
          <w:tcPr>
            <w:tcW w:w="709" w:type="dxa"/>
            <w:tcBorders>
              <w:top w:val="single" w:sz="8" w:space="0" w:color="auto"/>
              <w:left w:val="single" w:sz="8" w:space="0" w:color="auto"/>
              <w:bottom w:val="single" w:sz="8" w:space="0" w:color="000000" w:themeColor="text1"/>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2016</w:t>
            </w:r>
          </w:p>
        </w:tc>
        <w:tc>
          <w:tcPr>
            <w:tcW w:w="992" w:type="dxa"/>
            <w:tcBorders>
              <w:top w:val="single" w:sz="8" w:space="0" w:color="auto"/>
              <w:left w:val="nil"/>
              <w:bottom w:val="single" w:sz="8" w:space="0" w:color="000000" w:themeColor="text1"/>
              <w:right w:val="nil"/>
            </w:tcBorders>
            <w:shd w:val="clear" w:color="auto" w:fill="F2F2F2" w:themeFill="background1" w:themeFillShade="F2"/>
            <w:noWrap/>
            <w:vAlign w:val="center"/>
            <w:hideMark/>
          </w:tcPr>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Var. %</w:t>
            </w:r>
          </w:p>
          <w:p w:rsidR="00CC306B" w:rsidRPr="00777952" w:rsidRDefault="00CC306B" w:rsidP="00131E57">
            <w:pPr>
              <w:spacing w:after="0" w:line="240" w:lineRule="auto"/>
              <w:jc w:val="center"/>
              <w:rPr>
                <w:rFonts w:ascii="Times New Roman" w:eastAsia="Times New Roman" w:hAnsi="Times New Roman"/>
                <w:b/>
                <w:bCs/>
                <w:color w:val="000000"/>
                <w:sz w:val="12"/>
                <w:szCs w:val="12"/>
              </w:rPr>
            </w:pPr>
            <w:r w:rsidRPr="00777952">
              <w:rPr>
                <w:rFonts w:ascii="Times New Roman" w:eastAsia="Times New Roman" w:hAnsi="Times New Roman"/>
                <w:b/>
                <w:bCs/>
                <w:color w:val="000000"/>
                <w:sz w:val="12"/>
                <w:szCs w:val="12"/>
              </w:rPr>
              <w:t>2016/2011</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Biomassa</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3.581.848</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4.267.958</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19,16</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3.806.558</w:t>
            </w:r>
          </w:p>
        </w:tc>
        <w:tc>
          <w:tcPr>
            <w:tcW w:w="708" w:type="dxa"/>
            <w:tcBorders>
              <w:top w:val="single" w:sz="8" w:space="0" w:color="000000" w:themeColor="text1"/>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6,27</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3.899.348</w:t>
            </w:r>
          </w:p>
        </w:tc>
        <w:tc>
          <w:tcPr>
            <w:tcW w:w="709" w:type="dxa"/>
            <w:tcBorders>
              <w:top w:val="single" w:sz="8" w:space="0" w:color="000000" w:themeColor="text1"/>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8,86</w:t>
            </w:r>
          </w:p>
        </w:tc>
        <w:tc>
          <w:tcPr>
            <w:tcW w:w="709" w:type="dxa"/>
            <w:tcBorders>
              <w:top w:val="single" w:sz="8" w:space="0" w:color="000000" w:themeColor="text1"/>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3.724.046</w:t>
            </w:r>
          </w:p>
        </w:tc>
        <w:tc>
          <w:tcPr>
            <w:tcW w:w="708" w:type="dxa"/>
            <w:tcBorders>
              <w:top w:val="single" w:sz="8" w:space="0" w:color="000000" w:themeColor="text1"/>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3,97</w:t>
            </w:r>
          </w:p>
        </w:tc>
        <w:tc>
          <w:tcPr>
            <w:tcW w:w="709" w:type="dxa"/>
            <w:tcBorders>
              <w:top w:val="single" w:sz="8" w:space="0" w:color="000000" w:themeColor="text1"/>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3.615.991</w:t>
            </w:r>
          </w:p>
        </w:tc>
        <w:tc>
          <w:tcPr>
            <w:tcW w:w="992" w:type="dxa"/>
            <w:tcBorders>
              <w:top w:val="single" w:sz="8" w:space="0" w:color="000000" w:themeColor="text1"/>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0,95</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Tubérculos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325.922</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256.937</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-21,17</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97.657</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-70,04</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177.565</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-45,52</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171.805</w:t>
            </w:r>
          </w:p>
        </w:tc>
        <w:tc>
          <w:tcPr>
            <w:tcW w:w="708"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-47,29</w:t>
            </w:r>
          </w:p>
        </w:tc>
        <w:tc>
          <w:tcPr>
            <w:tcW w:w="709" w:type="dxa"/>
            <w:tcBorders>
              <w:top w:val="nil"/>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121.055</w:t>
            </w:r>
          </w:p>
        </w:tc>
        <w:tc>
          <w:tcPr>
            <w:tcW w:w="992"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-62,86</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Grãos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106.630</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7.590</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-92,88</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27.717</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-74,01</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29.160</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-72,65</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11.062</w:t>
            </w:r>
          </w:p>
        </w:tc>
        <w:tc>
          <w:tcPr>
            <w:tcW w:w="708"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-89,63</w:t>
            </w:r>
          </w:p>
        </w:tc>
        <w:tc>
          <w:tcPr>
            <w:tcW w:w="709" w:type="dxa"/>
            <w:tcBorders>
              <w:top w:val="nil"/>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10.276</w:t>
            </w:r>
          </w:p>
        </w:tc>
        <w:tc>
          <w:tcPr>
            <w:tcW w:w="992"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-90,36</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Frutas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451.235</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514.794</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14,09</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488.473</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8,25</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456.003</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1,06</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458.487</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1,61</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553.233</w:t>
            </w:r>
          </w:p>
        </w:tc>
        <w:tc>
          <w:tcPr>
            <w:tcW w:w="992"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22,60</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Hortaliças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59.072</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10.385</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-82,42</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11.704</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-80,19</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13.446</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-77,24</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8.250</w:t>
            </w:r>
          </w:p>
        </w:tc>
        <w:tc>
          <w:tcPr>
            <w:tcW w:w="708"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-86,03</w:t>
            </w:r>
          </w:p>
        </w:tc>
        <w:tc>
          <w:tcPr>
            <w:tcW w:w="709" w:type="dxa"/>
            <w:tcBorders>
              <w:top w:val="nil"/>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8.764</w:t>
            </w:r>
          </w:p>
        </w:tc>
        <w:tc>
          <w:tcPr>
            <w:tcW w:w="992"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-85,15</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Fibras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2.117</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478</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-77,42</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329</w:t>
            </w:r>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-84,46</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496</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-76,57</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275</w:t>
            </w:r>
          </w:p>
        </w:tc>
        <w:tc>
          <w:tcPr>
            <w:tcW w:w="708"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-87,01</w:t>
            </w:r>
          </w:p>
        </w:tc>
        <w:tc>
          <w:tcPr>
            <w:tcW w:w="709" w:type="dxa"/>
            <w:tcBorders>
              <w:top w:val="nil"/>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1.002</w:t>
            </w:r>
          </w:p>
        </w:tc>
        <w:tc>
          <w:tcPr>
            <w:tcW w:w="992"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-52,67</w:t>
            </w:r>
          </w:p>
        </w:tc>
      </w:tr>
      <w:tr w:rsidR="00CC306B" w:rsidRPr="00777952" w:rsidTr="0027796D">
        <w:trPr>
          <w:trHeight w:val="264"/>
        </w:trPr>
        <w:tc>
          <w:tcPr>
            <w:tcW w:w="92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Oleaginosas</w:t>
            </w:r>
          </w:p>
        </w:tc>
        <w:tc>
          <w:tcPr>
            <w:tcW w:w="78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166</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14</w:t>
            </w:r>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-91,57</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1</w:t>
            </w:r>
            <w:proofErr w:type="gramEnd"/>
          </w:p>
        </w:tc>
        <w:tc>
          <w:tcPr>
            <w:tcW w:w="708"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-99,4</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709" w:type="dxa"/>
            <w:tcBorders>
              <w:top w:val="nil"/>
              <w:left w:val="nil"/>
              <w:bottom w:val="nil"/>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c>
          <w:tcPr>
            <w:tcW w:w="709"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708" w:type="dxa"/>
            <w:tcBorders>
              <w:top w:val="nil"/>
              <w:left w:val="nil"/>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c>
          <w:tcPr>
            <w:tcW w:w="709" w:type="dxa"/>
            <w:tcBorders>
              <w:top w:val="nil"/>
              <w:left w:val="single" w:sz="8" w:space="0" w:color="auto"/>
              <w:bottom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992" w:type="dxa"/>
            <w:tcBorders>
              <w:top w:val="nil"/>
              <w:left w:val="nil"/>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r>
      <w:tr w:rsidR="00CC306B" w:rsidRPr="00777952" w:rsidTr="0027796D">
        <w:trPr>
          <w:trHeight w:val="278"/>
        </w:trPr>
        <w:tc>
          <w:tcPr>
            <w:tcW w:w="928" w:type="dxa"/>
            <w:tcBorders>
              <w:top w:val="nil"/>
              <w:left w:val="nil"/>
              <w:bottom w:val="single" w:sz="8" w:space="0" w:color="auto"/>
              <w:right w:val="single" w:sz="8" w:space="0" w:color="auto"/>
            </w:tcBorders>
            <w:shd w:val="clear" w:color="auto" w:fill="auto"/>
            <w:noWrap/>
            <w:vAlign w:val="center"/>
            <w:hideMark/>
          </w:tcPr>
          <w:p w:rsidR="00CC306B" w:rsidRPr="00777952" w:rsidRDefault="00CC306B" w:rsidP="00131E57">
            <w:pPr>
              <w:spacing w:after="0" w:line="240" w:lineRule="auto"/>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Outros</w:t>
            </w:r>
          </w:p>
        </w:tc>
        <w:tc>
          <w:tcPr>
            <w:tcW w:w="788" w:type="dxa"/>
            <w:tcBorders>
              <w:top w:val="nil"/>
              <w:left w:val="nil"/>
              <w:bottom w:val="single" w:sz="8" w:space="0" w:color="auto"/>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115</w:t>
            </w:r>
          </w:p>
        </w:tc>
        <w:tc>
          <w:tcPr>
            <w:tcW w:w="709" w:type="dxa"/>
            <w:tcBorders>
              <w:top w:val="nil"/>
              <w:left w:val="nil"/>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14</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-87,83</w:t>
            </w:r>
          </w:p>
        </w:tc>
        <w:tc>
          <w:tcPr>
            <w:tcW w:w="709" w:type="dxa"/>
            <w:tcBorders>
              <w:top w:val="nil"/>
              <w:left w:val="nil"/>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w:t>
            </w:r>
          </w:p>
        </w:tc>
        <w:tc>
          <w:tcPr>
            <w:tcW w:w="708" w:type="dxa"/>
            <w:tcBorders>
              <w:top w:val="nil"/>
              <w:left w:val="nil"/>
              <w:bottom w:val="single" w:sz="8" w:space="0" w:color="auto"/>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-91,3</w:t>
            </w:r>
          </w:p>
        </w:tc>
        <w:tc>
          <w:tcPr>
            <w:tcW w:w="709" w:type="dxa"/>
            <w:tcBorders>
              <w:top w:val="nil"/>
              <w:left w:val="nil"/>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c>
          <w:tcPr>
            <w:tcW w:w="709" w:type="dxa"/>
            <w:tcBorders>
              <w:top w:val="nil"/>
              <w:left w:val="nil"/>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708" w:type="dxa"/>
            <w:tcBorders>
              <w:top w:val="nil"/>
              <w:left w:val="nil"/>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c>
          <w:tcPr>
            <w:tcW w:w="709" w:type="dxa"/>
            <w:tcBorders>
              <w:top w:val="nil"/>
              <w:left w:val="single" w:sz="8" w:space="0" w:color="auto"/>
              <w:bottom w:val="single" w:sz="8" w:space="0" w:color="auto"/>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proofErr w:type="gramStart"/>
            <w:r w:rsidRPr="00777952">
              <w:rPr>
                <w:rFonts w:ascii="Times New Roman" w:eastAsia="Times New Roman" w:hAnsi="Times New Roman"/>
                <w:color w:val="000000"/>
                <w:sz w:val="12"/>
                <w:szCs w:val="12"/>
              </w:rPr>
              <w:t>0</w:t>
            </w:r>
            <w:proofErr w:type="gramEnd"/>
          </w:p>
        </w:tc>
        <w:tc>
          <w:tcPr>
            <w:tcW w:w="992" w:type="dxa"/>
            <w:tcBorders>
              <w:top w:val="nil"/>
              <w:left w:val="nil"/>
              <w:bottom w:val="single" w:sz="8" w:space="0" w:color="000000" w:themeColor="text1"/>
              <w:right w:val="nil"/>
            </w:tcBorders>
            <w:shd w:val="clear" w:color="auto" w:fill="auto"/>
            <w:noWrap/>
            <w:vAlign w:val="center"/>
            <w:hideMark/>
          </w:tcPr>
          <w:p w:rsidR="00CC306B" w:rsidRPr="00777952" w:rsidRDefault="00CC306B" w:rsidP="00131E57">
            <w:pPr>
              <w:spacing w:after="0" w:line="240" w:lineRule="auto"/>
              <w:jc w:val="center"/>
              <w:rPr>
                <w:rFonts w:ascii="Times New Roman" w:eastAsia="Times New Roman" w:hAnsi="Times New Roman"/>
                <w:color w:val="000000"/>
                <w:sz w:val="12"/>
                <w:szCs w:val="12"/>
              </w:rPr>
            </w:pPr>
            <w:r w:rsidRPr="00777952">
              <w:rPr>
                <w:rFonts w:ascii="Times New Roman" w:eastAsia="Times New Roman" w:hAnsi="Times New Roman"/>
                <w:color w:val="000000"/>
                <w:sz w:val="12"/>
                <w:szCs w:val="12"/>
              </w:rPr>
              <w:t>-100</w:t>
            </w:r>
          </w:p>
        </w:tc>
      </w:tr>
    </w:tbl>
    <w:p w:rsidR="00CC306B" w:rsidRPr="00716054" w:rsidRDefault="00CC306B" w:rsidP="00131E57">
      <w:pPr>
        <w:spacing w:after="0" w:line="24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PAM/IBGE/SIDRA (2017). Dados organizados pelos autores.</w:t>
      </w:r>
    </w:p>
    <w:p w:rsidR="00CC306B" w:rsidRPr="00716054" w:rsidRDefault="00CC306B" w:rsidP="00131E57">
      <w:pPr>
        <w:spacing w:after="0" w:line="240" w:lineRule="auto"/>
        <w:jc w:val="both"/>
        <w:rPr>
          <w:rFonts w:ascii="Times New Roman" w:hAnsi="Times New Roman"/>
          <w:sz w:val="24"/>
          <w:szCs w:val="24"/>
        </w:rPr>
      </w:pPr>
      <w:r w:rsidRPr="00716054">
        <w:rPr>
          <w:rFonts w:ascii="Times New Roman" w:hAnsi="Times New Roman"/>
          <w:b/>
          <w:sz w:val="20"/>
          <w:szCs w:val="20"/>
        </w:rPr>
        <w:t>(*)</w:t>
      </w:r>
      <w:r w:rsidRPr="00716054">
        <w:rPr>
          <w:rFonts w:ascii="Times New Roman" w:hAnsi="Times New Roman"/>
          <w:sz w:val="20"/>
          <w:szCs w:val="20"/>
        </w:rPr>
        <w:t xml:space="preserve"> As culturas temporárias foram agregadas nas seguintes categorias: Biomassa (cana-de-açúcar); Tubérculos (batata-doce e mandioca); Grãos (arroz, fava, feijão, milho e sorgo); Frutas (abacaxi, melancia e melão); Hortaliças (cebola e tomate); Fibras (algodão herbáceo); Oleaginosas (mamona e girassol) e Outros (fumo).</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Em contraposição aos dados dos setores mais capitalizados da agricultura estadual, um dos grupos de lavouras mais afetado pela grande seca foi o de grãos, algo que pode ser constatado ao comparar os resultados de 2012 a 2016 com o ano de 2011. De fato, na Tabela 1 percebe-se que houve perdas substanciais na quantidade colhida de grãos, especialmente em 2012 quando a queda na produção foi de -92,88%, e logo após, em 2016, quando registrou uma redução de -90,36% em relação ao ano-base. Outros segmentos impactados de forma negativa pela estiagem foram os de tubérculos, hortaliças, fibras e oleaginosas, que registraram forte retração em sua produção.</w:t>
      </w:r>
    </w:p>
    <w:p w:rsidR="00CC306B"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Quanto aos percentuais de perdas das culturas alimentares, pode-se observar na Tabela 2 que o milho concentrou as maiores reduções na quantidade produzida durante todo o intervalo de tempo estudado, com vultosas quedas em 2012 e 2016, quando perdeu -94,81% e -93,86% em relação à produção apresentada no ano de 2011. O feijão também teve quedas significativas em comparação a 2011, sobretudo em 2012 (-94,64%) e em 2016 (-89,70%). Já a mandioca, apesar de sofrer as menores diminuições percentuais dentre as lavouras alimentares, teve redução de -73,56% no ano de 2013, e de -68,36% em 2016, ao se comparar com o ano de chuvas regulares. Ou seja, as lavouras alimentares mais importantes do RN foram substancialmente afetadas no decorrer do período de estio.</w:t>
      </w:r>
    </w:p>
    <w:p w:rsidR="00527CA7" w:rsidRPr="00716054" w:rsidRDefault="00527CA7" w:rsidP="00131E57">
      <w:pPr>
        <w:spacing w:after="0" w:line="360" w:lineRule="auto"/>
        <w:ind w:firstLine="708"/>
        <w:jc w:val="both"/>
        <w:rPr>
          <w:rFonts w:ascii="Times New Roman" w:hAnsi="Times New Roman"/>
          <w:sz w:val="24"/>
          <w:szCs w:val="24"/>
        </w:rPr>
      </w:pPr>
    </w:p>
    <w:p w:rsidR="00CC306B" w:rsidRPr="00716054" w:rsidRDefault="00CC306B" w:rsidP="00131E57">
      <w:pPr>
        <w:spacing w:after="0" w:line="240" w:lineRule="auto"/>
        <w:jc w:val="both"/>
        <w:rPr>
          <w:rFonts w:ascii="Times New Roman" w:hAnsi="Times New Roman"/>
          <w:b/>
          <w:sz w:val="24"/>
          <w:szCs w:val="24"/>
        </w:rPr>
      </w:pPr>
      <w:r w:rsidRPr="00716054">
        <w:rPr>
          <w:rFonts w:ascii="Times New Roman" w:hAnsi="Times New Roman"/>
          <w:b/>
          <w:sz w:val="24"/>
          <w:szCs w:val="24"/>
        </w:rPr>
        <w:lastRenderedPageBreak/>
        <w:t xml:space="preserve">Tabela 2 – Quantidade produzida (em toneladas) e variação percentual da produção das lavouras de feijão, mandioca e milho no Rio Grande do Norte – 2012 a 2016 em relação a </w:t>
      </w:r>
      <w:proofErr w:type="gramStart"/>
      <w:r w:rsidRPr="00716054">
        <w:rPr>
          <w:rFonts w:ascii="Times New Roman" w:hAnsi="Times New Roman"/>
          <w:b/>
          <w:sz w:val="24"/>
          <w:szCs w:val="24"/>
        </w:rPr>
        <w:t>2011</w:t>
      </w:r>
      <w:proofErr w:type="gramEnd"/>
    </w:p>
    <w:tbl>
      <w:tblPr>
        <w:tblW w:w="9155" w:type="dxa"/>
        <w:tblInd w:w="55" w:type="dxa"/>
        <w:tblCellMar>
          <w:left w:w="70" w:type="dxa"/>
          <w:right w:w="70" w:type="dxa"/>
        </w:tblCellMar>
        <w:tblLook w:val="04A0" w:firstRow="1" w:lastRow="0" w:firstColumn="1" w:lastColumn="0" w:noHBand="0" w:noVBand="1"/>
      </w:tblPr>
      <w:tblGrid>
        <w:gridCol w:w="720"/>
        <w:gridCol w:w="812"/>
        <w:gridCol w:w="607"/>
        <w:gridCol w:w="973"/>
        <w:gridCol w:w="470"/>
        <w:gridCol w:w="1040"/>
        <w:gridCol w:w="638"/>
        <w:gridCol w:w="865"/>
        <w:gridCol w:w="530"/>
        <w:gridCol w:w="965"/>
        <w:gridCol w:w="470"/>
        <w:gridCol w:w="1066"/>
      </w:tblGrid>
      <w:tr w:rsidR="0027796D" w:rsidRPr="00716054" w:rsidTr="00EF757D">
        <w:trPr>
          <w:trHeight w:val="503"/>
        </w:trPr>
        <w:tc>
          <w:tcPr>
            <w:tcW w:w="720"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Lavouras</w:t>
            </w:r>
          </w:p>
        </w:tc>
        <w:tc>
          <w:tcPr>
            <w:tcW w:w="812" w:type="dxa"/>
            <w:tcBorders>
              <w:top w:val="single" w:sz="8"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2011</w:t>
            </w:r>
          </w:p>
        </w:tc>
        <w:tc>
          <w:tcPr>
            <w:tcW w:w="607"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w:t>
            </w:r>
          </w:p>
        </w:tc>
        <w:tc>
          <w:tcPr>
            <w:tcW w:w="973"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2012/2011</w:t>
            </w:r>
          </w:p>
        </w:tc>
        <w:tc>
          <w:tcPr>
            <w:tcW w:w="470"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w:t>
            </w:r>
          </w:p>
        </w:tc>
        <w:tc>
          <w:tcPr>
            <w:tcW w:w="1040"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2013/2011</w:t>
            </w:r>
          </w:p>
        </w:tc>
        <w:tc>
          <w:tcPr>
            <w:tcW w:w="638"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w:t>
            </w:r>
          </w:p>
        </w:tc>
        <w:tc>
          <w:tcPr>
            <w:tcW w:w="865"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2014/2011</w:t>
            </w:r>
          </w:p>
        </w:tc>
        <w:tc>
          <w:tcPr>
            <w:tcW w:w="52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w:t>
            </w:r>
          </w:p>
        </w:tc>
        <w:tc>
          <w:tcPr>
            <w:tcW w:w="965"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2015/2011</w:t>
            </w:r>
          </w:p>
        </w:tc>
        <w:tc>
          <w:tcPr>
            <w:tcW w:w="470"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w:t>
            </w:r>
          </w:p>
        </w:tc>
        <w:tc>
          <w:tcPr>
            <w:tcW w:w="1066"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2016/2011</w:t>
            </w:r>
          </w:p>
        </w:tc>
      </w:tr>
      <w:tr w:rsidR="0027796D" w:rsidRPr="00716054" w:rsidTr="0027796D">
        <w:trPr>
          <w:trHeight w:val="301"/>
        </w:trPr>
        <w:tc>
          <w:tcPr>
            <w:tcW w:w="720"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Feijão</w:t>
            </w:r>
          </w:p>
        </w:tc>
        <w:tc>
          <w:tcPr>
            <w:tcW w:w="812"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33.810</w:t>
            </w:r>
          </w:p>
        </w:tc>
        <w:tc>
          <w:tcPr>
            <w:tcW w:w="607"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1.812</w:t>
            </w:r>
          </w:p>
        </w:tc>
        <w:tc>
          <w:tcPr>
            <w:tcW w:w="973"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-94,64</w:t>
            </w:r>
          </w:p>
        </w:tc>
        <w:tc>
          <w:tcPr>
            <w:tcW w:w="470"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8.832</w:t>
            </w:r>
          </w:p>
        </w:tc>
        <w:tc>
          <w:tcPr>
            <w:tcW w:w="1040"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-73,88</w:t>
            </w:r>
          </w:p>
        </w:tc>
        <w:tc>
          <w:tcPr>
            <w:tcW w:w="638"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10.102</w:t>
            </w:r>
          </w:p>
        </w:tc>
        <w:tc>
          <w:tcPr>
            <w:tcW w:w="865"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-70,12</w:t>
            </w:r>
          </w:p>
        </w:tc>
        <w:tc>
          <w:tcPr>
            <w:tcW w:w="52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4.169</w:t>
            </w:r>
          </w:p>
        </w:tc>
        <w:tc>
          <w:tcPr>
            <w:tcW w:w="965"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-87,67</w:t>
            </w:r>
          </w:p>
        </w:tc>
        <w:tc>
          <w:tcPr>
            <w:tcW w:w="470"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3.484</w:t>
            </w:r>
          </w:p>
        </w:tc>
        <w:tc>
          <w:tcPr>
            <w:tcW w:w="1066"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-89,70</w:t>
            </w:r>
          </w:p>
        </w:tc>
      </w:tr>
      <w:tr w:rsidR="0027796D" w:rsidRPr="00716054" w:rsidTr="0027796D">
        <w:trPr>
          <w:trHeight w:val="318"/>
        </w:trPr>
        <w:tc>
          <w:tcPr>
            <w:tcW w:w="72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Mandioca</w:t>
            </w:r>
          </w:p>
        </w:tc>
        <w:tc>
          <w:tcPr>
            <w:tcW w:w="81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305.168</w:t>
            </w:r>
          </w:p>
        </w:tc>
        <w:tc>
          <w:tcPr>
            <w:tcW w:w="60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235.855</w:t>
            </w:r>
          </w:p>
        </w:tc>
        <w:tc>
          <w:tcPr>
            <w:tcW w:w="973"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-22,71</w:t>
            </w:r>
          </w:p>
        </w:tc>
        <w:tc>
          <w:tcPr>
            <w:tcW w:w="470"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80.685</w:t>
            </w:r>
          </w:p>
        </w:tc>
        <w:tc>
          <w:tcPr>
            <w:tcW w:w="104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-73,56</w:t>
            </w:r>
          </w:p>
        </w:tc>
        <w:tc>
          <w:tcPr>
            <w:tcW w:w="63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160.286</w:t>
            </w:r>
          </w:p>
        </w:tc>
        <w:tc>
          <w:tcPr>
            <w:tcW w:w="865"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-47,48</w:t>
            </w:r>
          </w:p>
        </w:tc>
        <w:tc>
          <w:tcPr>
            <w:tcW w:w="52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146.091</w:t>
            </w:r>
          </w:p>
        </w:tc>
        <w:tc>
          <w:tcPr>
            <w:tcW w:w="965"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-52,13</w:t>
            </w:r>
          </w:p>
        </w:tc>
        <w:tc>
          <w:tcPr>
            <w:tcW w:w="470" w:type="dxa"/>
            <w:tcBorders>
              <w:top w:val="nil"/>
              <w:left w:val="single" w:sz="8" w:space="0" w:color="auto"/>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96.544</w:t>
            </w:r>
          </w:p>
        </w:tc>
        <w:tc>
          <w:tcPr>
            <w:tcW w:w="1066"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-68,36</w:t>
            </w:r>
          </w:p>
        </w:tc>
      </w:tr>
      <w:tr w:rsidR="0027796D" w:rsidRPr="00716054" w:rsidTr="0027796D">
        <w:trPr>
          <w:trHeight w:val="318"/>
        </w:trPr>
        <w:tc>
          <w:tcPr>
            <w:tcW w:w="72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Milho</w:t>
            </w:r>
          </w:p>
        </w:tc>
        <w:tc>
          <w:tcPr>
            <w:tcW w:w="812"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47.926</w:t>
            </w:r>
          </w:p>
        </w:tc>
        <w:tc>
          <w:tcPr>
            <w:tcW w:w="60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2.489</w:t>
            </w:r>
          </w:p>
        </w:tc>
        <w:tc>
          <w:tcPr>
            <w:tcW w:w="973"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-94,81</w:t>
            </w:r>
          </w:p>
        </w:tc>
        <w:tc>
          <w:tcPr>
            <w:tcW w:w="470"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11.924</w:t>
            </w:r>
          </w:p>
        </w:tc>
        <w:tc>
          <w:tcPr>
            <w:tcW w:w="104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-75,12</w:t>
            </w:r>
          </w:p>
        </w:tc>
        <w:tc>
          <w:tcPr>
            <w:tcW w:w="638"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13.167</w:t>
            </w:r>
          </w:p>
        </w:tc>
        <w:tc>
          <w:tcPr>
            <w:tcW w:w="865"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-72,53</w:t>
            </w:r>
          </w:p>
        </w:tc>
        <w:tc>
          <w:tcPr>
            <w:tcW w:w="52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4.222</w:t>
            </w:r>
          </w:p>
        </w:tc>
        <w:tc>
          <w:tcPr>
            <w:tcW w:w="965"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-91,19</w:t>
            </w:r>
          </w:p>
        </w:tc>
        <w:tc>
          <w:tcPr>
            <w:tcW w:w="470" w:type="dxa"/>
            <w:tcBorders>
              <w:top w:val="nil"/>
              <w:left w:val="single" w:sz="8" w:space="0" w:color="auto"/>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2.943</w:t>
            </w:r>
          </w:p>
        </w:tc>
        <w:tc>
          <w:tcPr>
            <w:tcW w:w="1066"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-93,86</w:t>
            </w:r>
          </w:p>
        </w:tc>
      </w:tr>
    </w:tbl>
    <w:p w:rsidR="00CC306B" w:rsidRPr="00716054" w:rsidRDefault="00CC306B" w:rsidP="00131E57">
      <w:pPr>
        <w:spacing w:after="0" w:line="36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PAM/IBGE/SIDRA (2017). Dados organizados pelos autores.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 trajetória negativa apresentada pelas culturas alimentares tradicionais norte-rio-grandenses é bastante semelhante </w:t>
      </w:r>
      <w:proofErr w:type="gramStart"/>
      <w:r w:rsidRPr="00716054">
        <w:rPr>
          <w:rFonts w:ascii="Times New Roman" w:hAnsi="Times New Roman"/>
          <w:sz w:val="24"/>
          <w:szCs w:val="24"/>
        </w:rPr>
        <w:t>a</w:t>
      </w:r>
      <w:proofErr w:type="gramEnd"/>
      <w:r w:rsidRPr="00716054">
        <w:rPr>
          <w:rFonts w:ascii="Times New Roman" w:hAnsi="Times New Roman"/>
          <w:sz w:val="24"/>
          <w:szCs w:val="24"/>
        </w:rPr>
        <w:t xml:space="preserve"> realidade verificada no século passado, indicando a manutenção de um elevado grau de vulnerabilidade às estiagens. De fato, segundo Maia Gomes (2001), durante a seca de 1979/1980 nos estados mais afetados, dentre os quais </w:t>
      </w:r>
      <w:proofErr w:type="gramStart"/>
      <w:r w:rsidRPr="00716054">
        <w:rPr>
          <w:rFonts w:ascii="Times New Roman" w:hAnsi="Times New Roman"/>
          <w:sz w:val="24"/>
          <w:szCs w:val="24"/>
        </w:rPr>
        <w:t>encontrava-se</w:t>
      </w:r>
      <w:proofErr w:type="gramEnd"/>
      <w:r w:rsidRPr="00716054">
        <w:rPr>
          <w:rFonts w:ascii="Times New Roman" w:hAnsi="Times New Roman"/>
          <w:sz w:val="24"/>
          <w:szCs w:val="24"/>
        </w:rPr>
        <w:t xml:space="preserve"> o RN, as lavouras de gêneros alimentícios sofreram perdas percentuais de -85% em relação à cultura do feijão, -85% na lavoura do milho e de -50% da plantação de mandioca, em comparação à produção destes itens no ano de 1978, considerado como um ano de inverno normal.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Naturalmente, as quedas na produção de tais lavouras em virtude da grande seca de 2012/2016 não geraram uma crise de abastecimento como naquele período, tendo em vista que na atualidade algo em torno de 70% dos gêneros alimentícios consumidos pela população potiguar </w:t>
      </w:r>
      <w:proofErr w:type="gramStart"/>
      <w:r w:rsidRPr="00716054">
        <w:rPr>
          <w:rFonts w:ascii="Times New Roman" w:hAnsi="Times New Roman"/>
          <w:sz w:val="24"/>
          <w:szCs w:val="24"/>
        </w:rPr>
        <w:t>são</w:t>
      </w:r>
      <w:proofErr w:type="gramEnd"/>
      <w:r w:rsidRPr="00716054">
        <w:rPr>
          <w:rFonts w:ascii="Times New Roman" w:hAnsi="Times New Roman"/>
          <w:sz w:val="24"/>
          <w:szCs w:val="24"/>
        </w:rPr>
        <w:t xml:space="preserve"> importados de outros estados brasileiros, especialmente das regiões Sul e Centro-Oeste do país (LIRA, 2009). De qualquer forma, deve-se considerar que a queda na produção registrada na Tabela 2 reflete o agravamento de uma crise de longa data nas principais culturas alimentares do RN, feijão e milho, as quais enfrentam um acentuado processo de retração nos últimos 20 anos, conforme indica o Gráfico </w:t>
      </w:r>
      <w:proofErr w:type="gramStart"/>
      <w:r w:rsidRPr="00716054">
        <w:rPr>
          <w:rFonts w:ascii="Times New Roman" w:hAnsi="Times New Roman"/>
          <w:sz w:val="24"/>
          <w:szCs w:val="24"/>
        </w:rPr>
        <w:t>2</w:t>
      </w:r>
      <w:proofErr w:type="gramEnd"/>
      <w:r w:rsidRPr="00716054">
        <w:rPr>
          <w:rFonts w:ascii="Times New Roman" w:hAnsi="Times New Roman"/>
          <w:sz w:val="24"/>
          <w:szCs w:val="24"/>
        </w:rPr>
        <w:t>.</w:t>
      </w:r>
    </w:p>
    <w:p w:rsidR="0027796D" w:rsidRPr="00716054" w:rsidRDefault="0027796D" w:rsidP="00131E57">
      <w:pPr>
        <w:spacing w:after="0" w:line="240" w:lineRule="auto"/>
        <w:jc w:val="both"/>
        <w:rPr>
          <w:rFonts w:ascii="Times New Roman" w:hAnsi="Times New Roman"/>
          <w:b/>
          <w:sz w:val="24"/>
          <w:szCs w:val="24"/>
        </w:rPr>
      </w:pPr>
      <w:r w:rsidRPr="00716054">
        <w:rPr>
          <w:rFonts w:ascii="Times New Roman" w:hAnsi="Times New Roman"/>
          <w:b/>
          <w:sz w:val="24"/>
          <w:szCs w:val="24"/>
        </w:rPr>
        <w:t>Gráfico 2 – Evolução da quantidade produzida (em toneladas) das lavouras de feijão e milho no Rio Grande do Norte – 1996 a 2016</w:t>
      </w:r>
    </w:p>
    <w:p w:rsidR="00CC306B" w:rsidRPr="00716054" w:rsidRDefault="00CC306B" w:rsidP="00131E57">
      <w:pPr>
        <w:spacing w:after="0" w:line="360" w:lineRule="auto"/>
        <w:jc w:val="both"/>
        <w:rPr>
          <w:rFonts w:ascii="Times New Roman" w:hAnsi="Times New Roman"/>
          <w:sz w:val="24"/>
          <w:szCs w:val="24"/>
        </w:rPr>
      </w:pPr>
      <w:r w:rsidRPr="00716054">
        <w:rPr>
          <w:rFonts w:ascii="Times New Roman" w:hAnsi="Times New Roman"/>
          <w:noProof/>
          <w:lang w:eastAsia="pt-BR"/>
        </w:rPr>
        <w:drawing>
          <wp:inline distT="0" distB="0" distL="0" distR="0" wp14:anchorId="4143C2F9" wp14:editId="5F9BA532">
            <wp:extent cx="5771692" cy="2289657"/>
            <wp:effectExtent l="0" t="0" r="19685" b="15875"/>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C306B" w:rsidRPr="00716054" w:rsidRDefault="00CC306B" w:rsidP="00131E57">
      <w:pPr>
        <w:spacing w:after="0" w:line="36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PAM/IBGE/SIDRA (2017). Dados organizados pelos autores.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Além dos seus efeitos nas lavouras temporárias, a seca também impactou diretamente no comportamento das culturas permanentes desenvolvidas no campo potiguar, embora com efeitos diferenciados. Isso porque nem todas as plantações apresentaram sinais de declínio e algumas até registraram crescimento no período. A fim de verificar este aspecto, foram reunidos na Tabela 3 os dados referentes à evolução da quantidade produzida das referidas culturas. Nela, percebe-se que a manga registra taxas de crescimento em relação à quantidade produzida no período de análise. De forma análoga à produção em termos absolutos, a sua variação percentual também foi mais elevada nos anos de 2014 e 2016, alcançando ganhos na ordem de +19,57% e de +21,49%, respectivamente.</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O cultivo da banana, por sua vez, apresentou acréscimos em relação à produção em todos os anos da série estudada. Seu melhor resultado, contudo, ocorreu em 2014 (+19,83%), seguido de 2015 (+11,62%), provavelmente puxado pelo crescimento verificado nas áreas irrigadas que se concentram no Polo Assú-Mossoró, no Vale do Apodi e também no Agreste do estado. O abacate inicia o período com perda de -5,11%, e embora apresente um ganho excepcional de +177,34% no quantitativo de sua produção em solo norte-rio-grandense, finaliza a série com uma nova queda. Pode ser citado também a Tangerina, que somente apresentou quedas de produção nos anos de 2015 e 2016, quando obteve decréscimos de -35,42% e -58,33%, denotando uma relativa estabilidade durante os primeiros anos de estiagem, em comparação com o ano de 2011.</w:t>
      </w:r>
    </w:p>
    <w:p w:rsidR="00CC306B" w:rsidRPr="00716054" w:rsidRDefault="00CC306B" w:rsidP="00131E57">
      <w:pPr>
        <w:spacing w:after="0" w:line="240" w:lineRule="auto"/>
        <w:jc w:val="both"/>
        <w:rPr>
          <w:rFonts w:ascii="Times New Roman" w:hAnsi="Times New Roman"/>
          <w:b/>
          <w:sz w:val="24"/>
          <w:szCs w:val="24"/>
        </w:rPr>
      </w:pPr>
      <w:bookmarkStart w:id="7" w:name="_Toc486534697"/>
      <w:r w:rsidRPr="00716054">
        <w:rPr>
          <w:rFonts w:ascii="Times New Roman" w:hAnsi="Times New Roman"/>
          <w:b/>
          <w:sz w:val="24"/>
          <w:szCs w:val="24"/>
        </w:rPr>
        <w:t xml:space="preserve">Tabela 3 – </w:t>
      </w:r>
      <w:bookmarkEnd w:id="7"/>
      <w:r w:rsidRPr="00716054">
        <w:rPr>
          <w:rFonts w:ascii="Times New Roman" w:hAnsi="Times New Roman"/>
          <w:b/>
          <w:sz w:val="24"/>
          <w:szCs w:val="24"/>
        </w:rPr>
        <w:t>Quantidade produzida (em toneladas) e variação percentual da produção das lavouras permanentes do Rio Grande do Norte – 2012 a 2016 em relação a 2011</w:t>
      </w:r>
    </w:p>
    <w:tbl>
      <w:tblPr>
        <w:tblW w:w="9087" w:type="dxa"/>
        <w:tblInd w:w="55" w:type="dxa"/>
        <w:tblLayout w:type="fixed"/>
        <w:tblCellMar>
          <w:left w:w="70" w:type="dxa"/>
          <w:right w:w="70" w:type="dxa"/>
        </w:tblCellMar>
        <w:tblLook w:val="04A0" w:firstRow="1" w:lastRow="0" w:firstColumn="1" w:lastColumn="0" w:noHBand="0" w:noVBand="1"/>
      </w:tblPr>
      <w:tblGrid>
        <w:gridCol w:w="962"/>
        <w:gridCol w:w="896"/>
        <w:gridCol w:w="497"/>
        <w:gridCol w:w="921"/>
        <w:gridCol w:w="473"/>
        <w:gridCol w:w="944"/>
        <w:gridCol w:w="709"/>
        <w:gridCol w:w="850"/>
        <w:gridCol w:w="567"/>
        <w:gridCol w:w="851"/>
        <w:gridCol w:w="709"/>
        <w:gridCol w:w="708"/>
      </w:tblGrid>
      <w:tr w:rsidR="00EF757D" w:rsidRPr="00716054" w:rsidTr="00EF757D">
        <w:trPr>
          <w:trHeight w:val="520"/>
        </w:trPr>
        <w:tc>
          <w:tcPr>
            <w:tcW w:w="962"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Lavouras</w:t>
            </w:r>
          </w:p>
        </w:tc>
        <w:tc>
          <w:tcPr>
            <w:tcW w:w="896" w:type="dxa"/>
            <w:tcBorders>
              <w:top w:val="single" w:sz="8"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2011</w:t>
            </w:r>
          </w:p>
        </w:tc>
        <w:tc>
          <w:tcPr>
            <w:tcW w:w="497"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w:t>
            </w:r>
          </w:p>
        </w:tc>
        <w:tc>
          <w:tcPr>
            <w:tcW w:w="921"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2012/2011</w:t>
            </w:r>
          </w:p>
        </w:tc>
        <w:tc>
          <w:tcPr>
            <w:tcW w:w="473"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w:t>
            </w:r>
          </w:p>
        </w:tc>
        <w:tc>
          <w:tcPr>
            <w:tcW w:w="944"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2013/2011</w:t>
            </w:r>
          </w:p>
        </w:tc>
        <w:tc>
          <w:tcPr>
            <w:tcW w:w="70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w:t>
            </w:r>
          </w:p>
        </w:tc>
        <w:tc>
          <w:tcPr>
            <w:tcW w:w="850"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2014/2011</w:t>
            </w:r>
          </w:p>
        </w:tc>
        <w:tc>
          <w:tcPr>
            <w:tcW w:w="567"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w:t>
            </w:r>
          </w:p>
        </w:tc>
        <w:tc>
          <w:tcPr>
            <w:tcW w:w="851"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2015/2011</w:t>
            </w:r>
          </w:p>
        </w:tc>
        <w:tc>
          <w:tcPr>
            <w:tcW w:w="709"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w:t>
            </w:r>
          </w:p>
        </w:tc>
        <w:tc>
          <w:tcPr>
            <w:tcW w:w="708"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2016/2011</w:t>
            </w:r>
          </w:p>
        </w:tc>
      </w:tr>
      <w:tr w:rsidR="00CC306B" w:rsidRPr="00716054" w:rsidTr="0027796D">
        <w:trPr>
          <w:trHeight w:val="303"/>
        </w:trPr>
        <w:tc>
          <w:tcPr>
            <w:tcW w:w="962"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Abacate</w:t>
            </w:r>
          </w:p>
        </w:tc>
        <w:tc>
          <w:tcPr>
            <w:tcW w:w="896"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1.037</w:t>
            </w:r>
          </w:p>
        </w:tc>
        <w:tc>
          <w:tcPr>
            <w:tcW w:w="497"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984</w:t>
            </w:r>
          </w:p>
        </w:tc>
        <w:tc>
          <w:tcPr>
            <w:tcW w:w="921"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-5,11</w:t>
            </w:r>
          </w:p>
        </w:tc>
        <w:tc>
          <w:tcPr>
            <w:tcW w:w="473"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1.047</w:t>
            </w:r>
          </w:p>
        </w:tc>
        <w:tc>
          <w:tcPr>
            <w:tcW w:w="944"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0,96</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1.074</w:t>
            </w:r>
          </w:p>
        </w:tc>
        <w:tc>
          <w:tcPr>
            <w:tcW w:w="850"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3,57</w:t>
            </w:r>
          </w:p>
        </w:tc>
        <w:tc>
          <w:tcPr>
            <w:tcW w:w="567"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2.876</w:t>
            </w:r>
          </w:p>
        </w:tc>
        <w:tc>
          <w:tcPr>
            <w:tcW w:w="851"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177,34</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466</w:t>
            </w:r>
          </w:p>
        </w:tc>
        <w:tc>
          <w:tcPr>
            <w:tcW w:w="708"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-55,06</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Banana</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142.750</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147.129</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3,07</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148.304</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3,89</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171.061</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19,83</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159.335</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11,62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155.014</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8,59</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ind w:right="-70"/>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Castanha de caju</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54.252</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18.003</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-66,82</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28.109</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-48,19</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27.405</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-49,49</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22.337</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-58,83</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18.169</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-66,51</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Coco-da-baía</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60.024</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62.293</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3,78</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57.128</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56.904</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-5,2</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56.261</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-6,27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62.504</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4,13</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Goiaba</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3.059</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3.023</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-1,18</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3.084</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0,82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4.083</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33,47</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4.172</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36,38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4.189</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36,94</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Laranja</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2.423</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2.261</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-6,69</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2.218</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-8,46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2.033</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-16,1</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2.334</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-3,67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1.257</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-48,12</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Limão</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613</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524</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-14,52</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562</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-8,32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464</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-24,31</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475</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-22,51</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395</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-35,56</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Mamão</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69.410</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71.293</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2,71</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69.925</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0,74</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69.956</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0,79</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67.844</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94.740</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36,49</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Manga</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35.660</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38.167</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7,03</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38.115</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6,88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42.637</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19,57</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42.194</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18,32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43.325</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21,49</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Maracujá</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8.503</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4.594</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-45,97</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1.889</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-77,78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4.368</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-48,63</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5.206</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-38,77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5.872</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-30,94</w:t>
            </w:r>
          </w:p>
        </w:tc>
      </w:tr>
      <w:tr w:rsidR="00CC306B" w:rsidRPr="00716054" w:rsidTr="0027796D">
        <w:trPr>
          <w:trHeight w:val="303"/>
        </w:trPr>
        <w:tc>
          <w:tcPr>
            <w:tcW w:w="962"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 xml:space="preserve">Sisal ou agave </w:t>
            </w:r>
          </w:p>
        </w:tc>
        <w:tc>
          <w:tcPr>
            <w:tcW w:w="89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555</w:t>
            </w:r>
          </w:p>
        </w:tc>
        <w:tc>
          <w:tcPr>
            <w:tcW w:w="49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566</w:t>
            </w:r>
          </w:p>
        </w:tc>
        <w:tc>
          <w:tcPr>
            <w:tcW w:w="92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1,98</w:t>
            </w:r>
          </w:p>
        </w:tc>
        <w:tc>
          <w:tcPr>
            <w:tcW w:w="473"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352</w:t>
            </w:r>
          </w:p>
        </w:tc>
        <w:tc>
          <w:tcPr>
            <w:tcW w:w="944"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-36,58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128</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-76,94</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86</w:t>
            </w:r>
          </w:p>
        </w:tc>
        <w:tc>
          <w:tcPr>
            <w:tcW w:w="851"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-84,5</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78</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-85,95</w:t>
            </w:r>
          </w:p>
        </w:tc>
      </w:tr>
      <w:tr w:rsidR="00CC306B" w:rsidRPr="00716054" w:rsidTr="0027796D">
        <w:trPr>
          <w:trHeight w:val="317"/>
        </w:trPr>
        <w:tc>
          <w:tcPr>
            <w:tcW w:w="962"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Tangerina</w:t>
            </w:r>
          </w:p>
        </w:tc>
        <w:tc>
          <w:tcPr>
            <w:tcW w:w="896"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240</w:t>
            </w:r>
          </w:p>
        </w:tc>
        <w:tc>
          <w:tcPr>
            <w:tcW w:w="49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240</w:t>
            </w:r>
          </w:p>
        </w:tc>
        <w:tc>
          <w:tcPr>
            <w:tcW w:w="921"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proofErr w:type="gramStart"/>
            <w:r w:rsidRPr="00716054">
              <w:rPr>
                <w:rFonts w:ascii="Times New Roman" w:eastAsia="Times New Roman" w:hAnsi="Times New Roman"/>
                <w:color w:val="000000"/>
                <w:sz w:val="12"/>
                <w:szCs w:val="12"/>
              </w:rPr>
              <w:t>0</w:t>
            </w:r>
            <w:proofErr w:type="gramEnd"/>
          </w:p>
        </w:tc>
        <w:tc>
          <w:tcPr>
            <w:tcW w:w="473"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240</w:t>
            </w:r>
          </w:p>
        </w:tc>
        <w:tc>
          <w:tcPr>
            <w:tcW w:w="944"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proofErr w:type="gramStart"/>
            <w:r w:rsidRPr="00716054">
              <w:rPr>
                <w:rFonts w:ascii="Times New Roman" w:eastAsia="Times New Roman" w:hAnsi="Times New Roman"/>
                <w:color w:val="000000"/>
                <w:sz w:val="12"/>
                <w:szCs w:val="12"/>
              </w:rPr>
              <w:t>0</w:t>
            </w:r>
            <w:proofErr w:type="gramEnd"/>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240</w:t>
            </w:r>
          </w:p>
        </w:tc>
        <w:tc>
          <w:tcPr>
            <w:tcW w:w="85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proofErr w:type="gramStart"/>
            <w:r w:rsidRPr="00716054">
              <w:rPr>
                <w:rFonts w:ascii="Times New Roman" w:eastAsia="Times New Roman" w:hAnsi="Times New Roman"/>
                <w:color w:val="000000"/>
                <w:sz w:val="12"/>
                <w:szCs w:val="12"/>
              </w:rPr>
              <w:t>0</w:t>
            </w:r>
            <w:proofErr w:type="gramEnd"/>
          </w:p>
        </w:tc>
        <w:tc>
          <w:tcPr>
            <w:tcW w:w="56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155</w:t>
            </w:r>
          </w:p>
        </w:tc>
        <w:tc>
          <w:tcPr>
            <w:tcW w:w="851"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-35,42</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100</w:t>
            </w:r>
          </w:p>
        </w:tc>
        <w:tc>
          <w:tcPr>
            <w:tcW w:w="708"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-58,33</w:t>
            </w:r>
          </w:p>
        </w:tc>
      </w:tr>
    </w:tbl>
    <w:p w:rsidR="00CC306B" w:rsidRPr="00716054" w:rsidRDefault="00CC306B" w:rsidP="00131E57">
      <w:pPr>
        <w:spacing w:after="0" w:line="36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PAM/IBGE/SIDRA (2017). Dados organizados pelos autores.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Em um movimento contrário aos indicadores apresentados anteriormente, ainda na Tabela 3, percebe-se que a produção de castanha de caju foi </w:t>
      </w:r>
      <w:proofErr w:type="gramStart"/>
      <w:r w:rsidRPr="00716054">
        <w:rPr>
          <w:rFonts w:ascii="Times New Roman" w:hAnsi="Times New Roman"/>
          <w:sz w:val="24"/>
          <w:szCs w:val="24"/>
        </w:rPr>
        <w:t>a</w:t>
      </w:r>
      <w:proofErr w:type="gramEnd"/>
      <w:r w:rsidRPr="00716054">
        <w:rPr>
          <w:rFonts w:ascii="Times New Roman" w:hAnsi="Times New Roman"/>
          <w:sz w:val="24"/>
          <w:szCs w:val="24"/>
        </w:rPr>
        <w:t xml:space="preserve"> atividade que sofreu as maiores </w:t>
      </w:r>
      <w:r w:rsidRPr="00716054">
        <w:rPr>
          <w:rFonts w:ascii="Times New Roman" w:hAnsi="Times New Roman"/>
          <w:sz w:val="24"/>
          <w:szCs w:val="24"/>
        </w:rPr>
        <w:lastRenderedPageBreak/>
        <w:t>perdas durante a seca de 2012/2016, pois a florada dos cajueiros foi prejudicada em virtude da falta de chuvas, o que reduziu substancialmente a produção deste produto, que se desenvolve predominantemente em propriedades familiares no regime de sequeiro. As quedas em sua produção foram mais agudas nos anos de 2012 e de 2016, quando o decréscimo foi de -66,82% e -66,51%, respectivamente.</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De acordo com a CONAB (2016), além de ter sido bastante prejudicada pela estiagem, a produção de castanha de caju foi impactada pelo envelhecimento de grande parte dos cajueiros do estado e pela incidência de pragas, como a mosca branca, o que implicou em reduções na sua produtividade. Em vista do fraco desempenho da </w:t>
      </w:r>
      <w:proofErr w:type="spellStart"/>
      <w:r w:rsidRPr="00716054">
        <w:rPr>
          <w:rFonts w:ascii="Times New Roman" w:hAnsi="Times New Roman"/>
          <w:sz w:val="24"/>
          <w:szCs w:val="24"/>
        </w:rPr>
        <w:t>cajucultura</w:t>
      </w:r>
      <w:proofErr w:type="spellEnd"/>
      <w:r w:rsidRPr="00716054">
        <w:rPr>
          <w:rFonts w:ascii="Times New Roman" w:hAnsi="Times New Roman"/>
          <w:sz w:val="24"/>
          <w:szCs w:val="24"/>
        </w:rPr>
        <w:t xml:space="preserve"> estadual, para suprir suas necessidades de consumo e se manter funcionando, as usinas de beneficiamento de castanha localizadas no território potiguar tiveram que importar este produto da África e de outros estados produtores. </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O confronto das informações dos anos de seca com o último ano de climatologia normal (2011) demonstra que não houve modificações estruturais qualitativas que trouxessem maior resistência para a agricultura de sequeiro desenvolvida em solo norte-rio-grandense. Somente as lavouras que se desenvolvem em áreas de terras mais férteis com oferta d’água para irrigação e utilizam tecnologias mais avançadas registraram indicadores positivos. Isso indica que, apesar das estiagens periódicas representearam um acontecimento recorrente no espaço geográfico norte-rio-grandense, não foram realizadas melhorias tecnológicas abrangentes em relação ao processo produtivo das culturas de sequeiro, prejudicando especialmente o segmento de pequenos produtores familiares.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Com efeito, pode-se afirmar que os maiores prejuízos nas lavouras alimentares tradicionalmente cultivadas no RN se concentraram no segmento da agricultura familiar, tendo em vista que tal setor responde por um percentual expressivo da oferta de gêneros alimentícios consumidos internamente. Conforme destacam Aquino, Freire e Carvalho (2017), as propriedades familiares produzem 90% do arroz em casca, 86% do feijão, 61% da mandioca e 83% do milho cultivado nas lavouras potiguares. Enquanto isso, o setor patronal, que responde pelas produções mais capitalizadas, a exemplo da cana-de-açúcar e da fruticultura irrigada, foi relativamente pouco impactado, evidenciando-se a distribuição desigual dos prejuízos durante a grande seca 2012/2016.</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A esse respeito, segundo </w:t>
      </w:r>
      <w:proofErr w:type="spellStart"/>
      <w:r w:rsidRPr="00716054">
        <w:rPr>
          <w:rFonts w:ascii="Times New Roman" w:hAnsi="Times New Roman"/>
          <w:sz w:val="24"/>
          <w:szCs w:val="24"/>
        </w:rPr>
        <w:t>Hespanhol</w:t>
      </w:r>
      <w:proofErr w:type="spellEnd"/>
      <w:r w:rsidRPr="00716054">
        <w:rPr>
          <w:rFonts w:ascii="Times New Roman" w:hAnsi="Times New Roman"/>
          <w:sz w:val="24"/>
          <w:szCs w:val="24"/>
        </w:rPr>
        <w:t xml:space="preserve"> (2017), o estabelecimento de perímetros irrigados, financiados com aporte de recursos públicos, foi justificado pela necessidade de fortalecer a atividade agrícola norte-rio-grandense, tornando determinadas áreas localizadas no Semiárido em um espaço agricultável. No entanto, tais áreas destinadas à irrigação no estado foram </w:t>
      </w:r>
      <w:r w:rsidRPr="00716054">
        <w:rPr>
          <w:rFonts w:ascii="Times New Roman" w:hAnsi="Times New Roman"/>
          <w:sz w:val="24"/>
          <w:szCs w:val="24"/>
        </w:rPr>
        <w:lastRenderedPageBreak/>
        <w:t>apropriadas pelos empresários e fruticultores capitalizados, que utilizam as terras para a produção de artigos direcionados à exportação. Em contraposição, os agricultores pobres continuaram sem acesso ou com acesso precário à água para irrigar suas plantações e desenvolver suas atividades agrícolas.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Tal fato se reflete nos indicadores da agricultura, uma vez que as perdas mais acentuadas se concentram nas plantações de sequeiro, tendo em vista o seu alto grau de vulnerabilidade climática. As técnicas rústicas utilizadas pela maioria absoluta dos produtores, baseadas no braço e na enxada, não passaram por modificações no decorrer dos séculos, o que torna suas lavouras de alimentos inteiramente dependentes dos regimes de chuvas para que sua produção possa se concretizar. Desse modo, as quedas elevadas verificadas nas referidas lavouras no decorrer da grande seca de 2012/2016, contrastam com os resultados obtidos pelas plantações de maior valor comercial, que seguem alcançando desempenhos positivos a partir do uso privado dos estoques de água ainda disponíveis. Mas os efeitos da maior seca dos últimos 50 anos não ficaram restritos somente às plantações, desdobrando-se também na atividade criatória, como será discutido na sequência.</w:t>
      </w:r>
    </w:p>
    <w:p w:rsidR="00CC306B" w:rsidRPr="00716054" w:rsidRDefault="00CC306B" w:rsidP="00131E57">
      <w:pPr>
        <w:spacing w:after="0" w:line="360" w:lineRule="auto"/>
        <w:jc w:val="both"/>
        <w:rPr>
          <w:rFonts w:ascii="Times New Roman" w:hAnsi="Times New Roman"/>
          <w:sz w:val="24"/>
          <w:szCs w:val="24"/>
        </w:rPr>
      </w:pPr>
    </w:p>
    <w:p w:rsidR="00CC306B" w:rsidRPr="00716054" w:rsidRDefault="00CC306B" w:rsidP="00131E57">
      <w:pPr>
        <w:spacing w:after="0" w:line="360" w:lineRule="auto"/>
        <w:jc w:val="both"/>
        <w:rPr>
          <w:rFonts w:ascii="Times New Roman" w:hAnsi="Times New Roman"/>
          <w:b/>
          <w:sz w:val="24"/>
          <w:szCs w:val="24"/>
        </w:rPr>
      </w:pPr>
      <w:bookmarkStart w:id="8" w:name="_Toc484048916"/>
      <w:proofErr w:type="gramStart"/>
      <w:r w:rsidRPr="00716054">
        <w:rPr>
          <w:rFonts w:ascii="Times New Roman" w:hAnsi="Times New Roman"/>
          <w:b/>
          <w:sz w:val="24"/>
          <w:szCs w:val="24"/>
        </w:rPr>
        <w:t>4 – EVOLUÇÃO</w:t>
      </w:r>
      <w:proofErr w:type="gramEnd"/>
      <w:r w:rsidRPr="00716054">
        <w:rPr>
          <w:rFonts w:ascii="Times New Roman" w:hAnsi="Times New Roman"/>
          <w:b/>
          <w:sz w:val="24"/>
          <w:szCs w:val="24"/>
        </w:rPr>
        <w:t xml:space="preserve"> DA PECUÁRIA POTIGUAR DURANTE A GRANDE SECA</w:t>
      </w:r>
    </w:p>
    <w:bookmarkEnd w:id="8"/>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A pecuária exerce um papel importante na economia do RN, desde o seu processo de colonização, sendo uma das primeiras atividades desenvolvidas no sertão potiguar (</w:t>
      </w:r>
      <w:r w:rsidR="00616F26">
        <w:rPr>
          <w:rFonts w:ascii="Times New Roman" w:hAnsi="Times New Roman"/>
          <w:sz w:val="24"/>
          <w:szCs w:val="24"/>
        </w:rPr>
        <w:t xml:space="preserve">ANDRADE, 2005; </w:t>
      </w:r>
      <w:r w:rsidRPr="00716054">
        <w:rPr>
          <w:rFonts w:ascii="Times New Roman" w:hAnsi="Times New Roman"/>
          <w:sz w:val="24"/>
          <w:szCs w:val="24"/>
        </w:rPr>
        <w:t>FELIPE; ROCHA; CARVALHO, 2009). Note-se que as obras de infraestrutura realizadas durante o século XX, com o intuito de aumentar o aproveitamento das fontes de água do estado visando garantir maior segurança hídrica à população, tiveram efeitos bastante positivos sobre a atividade criatória, na medida em que o represamento dos recursos hídricos evitou a mortandade em massa dos animais que compõem o rebanho estadual. Mesmo assim, durante a grande seca 2012/2016, houve perdas nos currais dos pecuaristas norte-rio-grandenses frente ao quantitativo das criações existentes no ano de 2011, considerado de inverno normal.</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Como é possível observar na Tabela 4, as perdas se distribuíram de maneira diferenciada em relação a cada um dos rebanhos norte-rio-grandenses. A bovinocultura, que é a criação mais relevante em termos econômicos no campo potiguar, cumprindo a função de reserva de valor para muitos pequenos pecuaristas, apresentou quedas percentuais que foram mais elevadas nos anos de 2012 e 2016, onde foi constatado um decréscimo no rebanho de -18,09% e -19,75%. O citado decréscimo é explicado tanto pelo abate precoce de animais, </w:t>
      </w:r>
      <w:r w:rsidRPr="00716054">
        <w:rPr>
          <w:rFonts w:ascii="Times New Roman" w:hAnsi="Times New Roman"/>
          <w:sz w:val="24"/>
          <w:szCs w:val="24"/>
        </w:rPr>
        <w:lastRenderedPageBreak/>
        <w:t xml:space="preserve">como pela escassez de alimento e água que vitimou uma parcela do rebanho dos pequenos e médios pecuaristas descapitalizados. </w:t>
      </w:r>
    </w:p>
    <w:p w:rsidR="00CC306B" w:rsidRPr="00716054" w:rsidRDefault="00CC306B" w:rsidP="00131E57">
      <w:pPr>
        <w:shd w:val="clear" w:color="auto" w:fill="FFFFFF"/>
        <w:spacing w:after="0" w:line="360" w:lineRule="auto"/>
        <w:ind w:firstLine="708"/>
        <w:jc w:val="both"/>
        <w:rPr>
          <w:rFonts w:ascii="Times New Roman" w:eastAsia="Times New Roman" w:hAnsi="Times New Roman"/>
          <w:sz w:val="24"/>
          <w:szCs w:val="24"/>
        </w:rPr>
      </w:pPr>
      <w:r w:rsidRPr="00716054">
        <w:rPr>
          <w:rFonts w:ascii="Times New Roman" w:hAnsi="Times New Roman"/>
          <w:sz w:val="24"/>
          <w:szCs w:val="24"/>
        </w:rPr>
        <w:t xml:space="preserve">Em relação a esse aspecto, em particular, Freire (2012) chama a atenção para o fato de que o aumento nos abates dos bovinos foi incrementado já no primeiro ano de seca, refletindo as elevações nos custos de manutenção do gado. Só no segundo semestre do ano de 2012, por exemplo, foram abatidos </w:t>
      </w:r>
      <w:r w:rsidRPr="00716054">
        <w:rPr>
          <w:rFonts w:ascii="Times New Roman" w:eastAsia="Times New Roman" w:hAnsi="Times New Roman"/>
          <w:sz w:val="24"/>
          <w:szCs w:val="24"/>
        </w:rPr>
        <w:t>28.778 animais, o que significa um aumento de +8,9% sobre o mesmo período de 2011, enquanto a nível nacional (ainda tomando como base o ano de 2011), a elevação no número de abates no segundo semestre chegou a +7%.</w:t>
      </w:r>
    </w:p>
    <w:p w:rsidR="00CC306B" w:rsidRPr="00716054" w:rsidRDefault="00CC306B" w:rsidP="00131E57">
      <w:pPr>
        <w:spacing w:after="0" w:line="240" w:lineRule="auto"/>
        <w:jc w:val="both"/>
        <w:rPr>
          <w:rFonts w:ascii="Times New Roman" w:hAnsi="Times New Roman"/>
          <w:b/>
          <w:sz w:val="24"/>
          <w:szCs w:val="24"/>
        </w:rPr>
      </w:pPr>
      <w:bookmarkStart w:id="9" w:name="_Toc486534702"/>
      <w:r w:rsidRPr="00716054">
        <w:rPr>
          <w:rFonts w:ascii="Times New Roman" w:hAnsi="Times New Roman"/>
          <w:b/>
          <w:sz w:val="24"/>
          <w:szCs w:val="24"/>
        </w:rPr>
        <w:t xml:space="preserve">Tabela 4 – Número de cabeças e variação percentual dos rebanhos do Rio Grande do Norte – </w:t>
      </w:r>
      <w:bookmarkEnd w:id="9"/>
      <w:r w:rsidRPr="00716054">
        <w:rPr>
          <w:rFonts w:ascii="Times New Roman" w:hAnsi="Times New Roman"/>
          <w:b/>
          <w:sz w:val="24"/>
          <w:szCs w:val="24"/>
        </w:rPr>
        <w:t>2012 a 2016 em relação a 2011</w:t>
      </w:r>
    </w:p>
    <w:tbl>
      <w:tblPr>
        <w:tblW w:w="9087" w:type="dxa"/>
        <w:tblInd w:w="55" w:type="dxa"/>
        <w:tblLayout w:type="fixed"/>
        <w:tblCellMar>
          <w:left w:w="70" w:type="dxa"/>
          <w:right w:w="70" w:type="dxa"/>
        </w:tblCellMar>
        <w:tblLook w:val="04A0" w:firstRow="1" w:lastRow="0" w:firstColumn="1" w:lastColumn="0" w:noHBand="0" w:noVBand="1"/>
      </w:tblPr>
      <w:tblGrid>
        <w:gridCol w:w="866"/>
        <w:gridCol w:w="850"/>
        <w:gridCol w:w="709"/>
        <w:gridCol w:w="709"/>
        <w:gridCol w:w="709"/>
        <w:gridCol w:w="708"/>
        <w:gridCol w:w="709"/>
        <w:gridCol w:w="709"/>
        <w:gridCol w:w="709"/>
        <w:gridCol w:w="850"/>
        <w:gridCol w:w="851"/>
        <w:gridCol w:w="708"/>
      </w:tblGrid>
      <w:tr w:rsidR="00EF757D" w:rsidRPr="00716054" w:rsidTr="00EF757D">
        <w:trPr>
          <w:trHeight w:val="393"/>
        </w:trPr>
        <w:tc>
          <w:tcPr>
            <w:tcW w:w="866"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Rebanho</w:t>
            </w:r>
          </w:p>
        </w:tc>
        <w:tc>
          <w:tcPr>
            <w:tcW w:w="850" w:type="dxa"/>
            <w:tcBorders>
              <w:top w:val="single" w:sz="8"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2011</w:t>
            </w:r>
          </w:p>
        </w:tc>
        <w:tc>
          <w:tcPr>
            <w:tcW w:w="70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w:t>
            </w:r>
          </w:p>
        </w:tc>
        <w:tc>
          <w:tcPr>
            <w:tcW w:w="709"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ind w:right="-152"/>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2012/2011</w:t>
            </w:r>
          </w:p>
        </w:tc>
        <w:tc>
          <w:tcPr>
            <w:tcW w:w="70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w:t>
            </w:r>
          </w:p>
        </w:tc>
        <w:tc>
          <w:tcPr>
            <w:tcW w:w="708"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ind w:right="-24"/>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2013/2011</w:t>
            </w:r>
          </w:p>
        </w:tc>
        <w:tc>
          <w:tcPr>
            <w:tcW w:w="70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w:t>
            </w:r>
          </w:p>
        </w:tc>
        <w:tc>
          <w:tcPr>
            <w:tcW w:w="709"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ind w:right="-38"/>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2014/2011</w:t>
            </w:r>
          </w:p>
        </w:tc>
        <w:tc>
          <w:tcPr>
            <w:tcW w:w="709" w:type="dxa"/>
            <w:tcBorders>
              <w:top w:val="single" w:sz="8" w:space="0" w:color="auto"/>
              <w:left w:val="single" w:sz="8"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w:t>
            </w:r>
          </w:p>
        </w:tc>
        <w:tc>
          <w:tcPr>
            <w:tcW w:w="850"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ind w:right="-53"/>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2015/2011</w:t>
            </w:r>
          </w:p>
        </w:tc>
        <w:tc>
          <w:tcPr>
            <w:tcW w:w="851"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w:t>
            </w:r>
          </w:p>
        </w:tc>
        <w:tc>
          <w:tcPr>
            <w:tcW w:w="708" w:type="dxa"/>
            <w:tcBorders>
              <w:top w:val="single" w:sz="8" w:space="0" w:color="auto"/>
              <w:left w:val="nil"/>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240" w:lineRule="auto"/>
              <w:jc w:val="center"/>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Var. %</w:t>
            </w:r>
          </w:p>
          <w:p w:rsidR="00CC306B" w:rsidRPr="00716054" w:rsidRDefault="00CC306B" w:rsidP="00131E57">
            <w:pPr>
              <w:spacing w:after="0" w:line="240" w:lineRule="auto"/>
              <w:ind w:right="-66"/>
              <w:rPr>
                <w:rFonts w:ascii="Times New Roman" w:eastAsia="Times New Roman" w:hAnsi="Times New Roman"/>
                <w:b/>
                <w:bCs/>
                <w:color w:val="000000"/>
                <w:sz w:val="12"/>
                <w:szCs w:val="12"/>
              </w:rPr>
            </w:pPr>
            <w:r w:rsidRPr="00716054">
              <w:rPr>
                <w:rFonts w:ascii="Times New Roman" w:eastAsia="Times New Roman" w:hAnsi="Times New Roman"/>
                <w:b/>
                <w:bCs/>
                <w:color w:val="000000"/>
                <w:sz w:val="12"/>
                <w:szCs w:val="12"/>
              </w:rPr>
              <w:t>2016/2011</w:t>
            </w:r>
          </w:p>
        </w:tc>
      </w:tr>
      <w:tr w:rsidR="00CC306B" w:rsidRPr="00716054" w:rsidTr="003469C7">
        <w:trPr>
          <w:trHeight w:val="286"/>
        </w:trPr>
        <w:tc>
          <w:tcPr>
            <w:tcW w:w="866"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Bovino</w:t>
            </w:r>
          </w:p>
        </w:tc>
        <w:tc>
          <w:tcPr>
            <w:tcW w:w="850"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1.047.797</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858.211</w:t>
            </w:r>
          </w:p>
        </w:tc>
        <w:tc>
          <w:tcPr>
            <w:tcW w:w="709"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-18,09</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914.777</w:t>
            </w:r>
          </w:p>
        </w:tc>
        <w:tc>
          <w:tcPr>
            <w:tcW w:w="708"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-12,7</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972.816</w:t>
            </w:r>
          </w:p>
        </w:tc>
        <w:tc>
          <w:tcPr>
            <w:tcW w:w="709"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-7,16</w:t>
            </w:r>
          </w:p>
        </w:tc>
        <w:tc>
          <w:tcPr>
            <w:tcW w:w="709"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918.952</w:t>
            </w:r>
          </w:p>
        </w:tc>
        <w:tc>
          <w:tcPr>
            <w:tcW w:w="850" w:type="dxa"/>
            <w:tcBorders>
              <w:top w:val="single" w:sz="4" w:space="0" w:color="auto"/>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-12,3</w:t>
            </w:r>
          </w:p>
        </w:tc>
        <w:tc>
          <w:tcPr>
            <w:tcW w:w="851"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840.847</w:t>
            </w:r>
          </w:p>
        </w:tc>
        <w:tc>
          <w:tcPr>
            <w:tcW w:w="708" w:type="dxa"/>
            <w:tcBorders>
              <w:top w:val="single" w:sz="4" w:space="0" w:color="auto"/>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-19,75</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Bubalino</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2.547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2.201</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-13,58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1.949</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-23,48</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1.417</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-44,37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2.370</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-6,95</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1.840</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-27,76</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Equino</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45.100</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44.454</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-1,43</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53.552</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18,74</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62.654</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38,92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63.816</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41,5</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64.585</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43,2</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Suíno</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193.187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173.049</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-10,42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162.254</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-16,01</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217.783</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12,73</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258.078</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33,59</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273.518</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41,58</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Caprino</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406.616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383.971</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-5,57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397.093</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-2,34</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438.690</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7,89</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463.553</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14,00</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452.836</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11,37</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Ovino</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587.096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558.563</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737.392</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25,6</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860.037</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46,49</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872.795</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48,66</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843.968</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43,75</w:t>
            </w:r>
          </w:p>
        </w:tc>
      </w:tr>
      <w:tr w:rsidR="00CC306B" w:rsidRPr="00716054" w:rsidTr="003469C7">
        <w:trPr>
          <w:trHeight w:val="286"/>
        </w:trPr>
        <w:tc>
          <w:tcPr>
            <w:tcW w:w="866"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Galináceos</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4.941.927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4.623.791</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-6,44</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4.104.289</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-16,95</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4.560.577</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-7,72</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4.675.903</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-5,38</w:t>
            </w:r>
          </w:p>
        </w:tc>
        <w:tc>
          <w:tcPr>
            <w:tcW w:w="851"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4.550.016</w:t>
            </w:r>
          </w:p>
        </w:tc>
        <w:tc>
          <w:tcPr>
            <w:tcW w:w="708" w:type="dxa"/>
            <w:tcBorders>
              <w:top w:val="nil"/>
              <w:left w:val="nil"/>
              <w:bottom w:val="nil"/>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-7,93</w:t>
            </w:r>
          </w:p>
        </w:tc>
      </w:tr>
      <w:tr w:rsidR="00CC306B" w:rsidRPr="00716054" w:rsidTr="003469C7">
        <w:trPr>
          <w:trHeight w:val="301"/>
        </w:trPr>
        <w:tc>
          <w:tcPr>
            <w:tcW w:w="866"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both"/>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Codornas</w:t>
            </w:r>
          </w:p>
        </w:tc>
        <w:tc>
          <w:tcPr>
            <w:tcW w:w="85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53.422</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45.628</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-14,59</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49.343</w:t>
            </w:r>
          </w:p>
        </w:tc>
        <w:tc>
          <w:tcPr>
            <w:tcW w:w="708"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-7,64</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51.522</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-3,56</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50.500</w:t>
            </w:r>
          </w:p>
        </w:tc>
        <w:tc>
          <w:tcPr>
            <w:tcW w:w="85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-5,47</w:t>
            </w:r>
          </w:p>
        </w:tc>
        <w:tc>
          <w:tcPr>
            <w:tcW w:w="851"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333333"/>
                <w:sz w:val="12"/>
                <w:szCs w:val="12"/>
              </w:rPr>
            </w:pPr>
            <w:r w:rsidRPr="00716054">
              <w:rPr>
                <w:rFonts w:ascii="Times New Roman" w:eastAsia="Times New Roman" w:hAnsi="Times New Roman"/>
                <w:color w:val="333333"/>
                <w:sz w:val="12"/>
                <w:szCs w:val="12"/>
              </w:rPr>
              <w:t>52.880</w:t>
            </w:r>
          </w:p>
        </w:tc>
        <w:tc>
          <w:tcPr>
            <w:tcW w:w="708"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24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-1,01</w:t>
            </w:r>
          </w:p>
        </w:tc>
      </w:tr>
    </w:tbl>
    <w:p w:rsidR="00CC306B" w:rsidRPr="00716054" w:rsidRDefault="00CC306B" w:rsidP="00131E57">
      <w:pPr>
        <w:spacing w:after="0" w:line="36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PPM/IBGE/SIDRA (2017). Dados organizados pelos autores.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Quanto aos outros tipos de rebanhos, percebe-se na Tabela 4 que os caprinos, após passar por dois anos de desempenho negativo, registraram uma recuperação no final da série analisada. Se no ano de 2012 houve uma queda de -5,57%, em 2015 houve um aumento de +14% no efetivo deste rebanho. De forma análoga, os ovinos também desfrutaram de uma recuperação importante logo após um período de perdas. Os melhores resultados anuais obtidos pela ovinocultura expressaram-se em 2014 (+46,49%) e em 2015 (+48,66%).</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O crescimento verificado na criação de ovinos e caprinos nos estabelecimentos rurais potiguares deve-se, em parte, as dificuldades financeiras encontradas pelos pequenos e médios pecuaristas, o que os têm levado a substituir o gado bovino por animais de pequeno porte mais rústicos e adaptados ao clima semiárido. Isso decorre dos elevados gastos com a criação das reses, que aumenta em períodos de seca, especialmente no que diz respeito à sua alimentação. Tendo em vista que os custos de manutenção das ovelhas e cabras são bem mais reduzidos, o investimento na </w:t>
      </w:r>
      <w:proofErr w:type="spellStart"/>
      <w:r w:rsidRPr="00716054">
        <w:rPr>
          <w:rFonts w:ascii="Times New Roman" w:hAnsi="Times New Roman"/>
          <w:sz w:val="24"/>
          <w:szCs w:val="24"/>
        </w:rPr>
        <w:t>ovinocaprinocultura</w:t>
      </w:r>
      <w:proofErr w:type="spellEnd"/>
      <w:r w:rsidRPr="00716054">
        <w:rPr>
          <w:rFonts w:ascii="Times New Roman" w:hAnsi="Times New Roman"/>
          <w:sz w:val="24"/>
          <w:szCs w:val="24"/>
        </w:rPr>
        <w:t xml:space="preserve"> tem se configurado como uma alternativa atrativa para os criadores potiguares durante a estiagem de 2012 a 2016, recebendo o apoio de políticas de incentivo como o Programa de microcrédito AGROAMIGO, do Banco do Nordeste do Brasil (BNB).</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 xml:space="preserve">Note-se que da mesma forma que afetou os rebanhos norte-rio-grandenses, a seca também tem impactado no desempenho dos principais produtos alimentares de origem animal desenvolvidos nas fazendas e sítios do estado. De fato, isso se confirma ao se observar o comportamento de dois produtos de origem animal relevantes no RN, ou seja, o mel de abelha e o leite de vaca, durante o período de 2011 a 2016 (Tabela 5). Na análise, fica evidenciado que a quantidade destes itens sofreu reduções e abalou uma importante fonte de renda monetária de centenas de produtores familiares e não familiares do sertão potiguar. </w:t>
      </w:r>
    </w:p>
    <w:p w:rsidR="00CC306B" w:rsidRPr="00716054" w:rsidRDefault="00CC306B" w:rsidP="00131E57">
      <w:pPr>
        <w:widowControl w:val="0"/>
        <w:spacing w:after="0" w:line="360" w:lineRule="auto"/>
        <w:ind w:firstLine="708"/>
        <w:jc w:val="both"/>
        <w:rPr>
          <w:rFonts w:ascii="Times New Roman" w:hAnsi="Times New Roman"/>
          <w:sz w:val="24"/>
          <w:szCs w:val="24"/>
        </w:rPr>
      </w:pPr>
      <w:r w:rsidRPr="00716054">
        <w:rPr>
          <w:rFonts w:ascii="Times New Roman" w:hAnsi="Times New Roman"/>
          <w:sz w:val="24"/>
          <w:szCs w:val="24"/>
        </w:rPr>
        <w:t>Uma avaliação individual permite inferir que a produção de mel de abelha foi extremamente impactada. Cabe salientar que a estiagem, ao prejudicar a floração das plantas nativas da caatinga e das lavouras, causa quedas na produção de mel. É o que fica claro ao verificar os prejuízos sofridos pela apicultura nos anos da grande seca de 2012 a 2016. As perdas foram se avolumando a cada ano de seca, variando de metade da produção até uma redução de mais de 70%, em 2015</w:t>
      </w:r>
      <w:bookmarkStart w:id="10" w:name="_Toc486534704"/>
      <w:r w:rsidRPr="00716054">
        <w:rPr>
          <w:rFonts w:ascii="Times New Roman" w:hAnsi="Times New Roman"/>
          <w:sz w:val="24"/>
          <w:szCs w:val="24"/>
        </w:rPr>
        <w:t xml:space="preserve"> e 2016 (Tabela 5). Deve-se sublinhar, contudo, que os prejuízos sofridos pela atividade não se restringiram ao RN, já que o período de estiagem teria ocasionado o esvaziamento de 75% das colmeias da região Nordeste (VIDAL, 2013). Desta forma, a evolução do referido segmento em âmbito estadual ocorreu de forma similar ao que se verifica no cenário regional, apresentando quedas elevadas.</w:t>
      </w:r>
    </w:p>
    <w:p w:rsidR="00CC306B" w:rsidRPr="00716054" w:rsidRDefault="00054743" w:rsidP="00131E57">
      <w:pPr>
        <w:widowControl w:val="0"/>
        <w:spacing w:after="0" w:line="360" w:lineRule="auto"/>
        <w:jc w:val="both"/>
        <w:rPr>
          <w:rFonts w:ascii="Times New Roman" w:hAnsi="Times New Roman"/>
          <w:sz w:val="24"/>
          <w:szCs w:val="24"/>
        </w:rPr>
      </w:pPr>
      <w:r>
        <w:rPr>
          <w:rFonts w:ascii="Times New Roman" w:hAnsi="Times New Roman"/>
          <w:sz w:val="24"/>
          <w:szCs w:val="24"/>
        </w:rPr>
        <w:tab/>
      </w:r>
      <w:r w:rsidR="00CC306B" w:rsidRPr="00716054">
        <w:rPr>
          <w:rFonts w:ascii="Times New Roman" w:hAnsi="Times New Roman"/>
          <w:sz w:val="24"/>
          <w:szCs w:val="24"/>
        </w:rPr>
        <w:t xml:space="preserve">Ainda segundo Vidal (2013), a atividade apícola se desenvolveu de forma significativa entre 1999 e 2009, devido ao seu baixo custo de implantação e seu rápido retorno financeiro. Além disso, as características da vegetação nordestina lhe confere uma alta competitividade em relação à atividade apícola, pois a flora diversificada existente na região possibilita uma produção sem o uso de pesticidas. Tal atividade se organiza de forma predominante em bases familiares, e seu desenvolvimento representa uma boa opção de investimento para os pequenos produtores, sendo eles também os mais afetados pela crise do setor provocada pela estiagem. </w:t>
      </w:r>
    </w:p>
    <w:p w:rsidR="00CC306B" w:rsidRPr="00716054" w:rsidRDefault="00CC306B" w:rsidP="00131E57">
      <w:pPr>
        <w:spacing w:after="0" w:line="240" w:lineRule="auto"/>
        <w:jc w:val="both"/>
        <w:rPr>
          <w:rFonts w:ascii="Times New Roman" w:hAnsi="Times New Roman"/>
          <w:b/>
          <w:sz w:val="24"/>
          <w:szCs w:val="24"/>
        </w:rPr>
      </w:pPr>
      <w:r w:rsidRPr="00716054">
        <w:rPr>
          <w:rFonts w:ascii="Times New Roman" w:hAnsi="Times New Roman"/>
          <w:b/>
          <w:sz w:val="24"/>
          <w:szCs w:val="24"/>
        </w:rPr>
        <w:t xml:space="preserve">Tabela 5 – Quantidade produzida e variação percentual da produção de mel de abelha e de leite de vaca no Rio Grande do Norte – </w:t>
      </w:r>
      <w:bookmarkEnd w:id="10"/>
      <w:r w:rsidRPr="00716054">
        <w:rPr>
          <w:rFonts w:ascii="Times New Roman" w:hAnsi="Times New Roman"/>
          <w:b/>
          <w:sz w:val="24"/>
          <w:szCs w:val="24"/>
        </w:rPr>
        <w:t>2012 a 2016 em relação a 2011</w:t>
      </w:r>
    </w:p>
    <w:tbl>
      <w:tblPr>
        <w:tblW w:w="9087" w:type="dxa"/>
        <w:tblInd w:w="55" w:type="dxa"/>
        <w:tblLayout w:type="fixed"/>
        <w:tblCellMar>
          <w:left w:w="70" w:type="dxa"/>
          <w:right w:w="70" w:type="dxa"/>
        </w:tblCellMar>
        <w:tblLook w:val="04A0" w:firstRow="1" w:lastRow="0" w:firstColumn="1" w:lastColumn="0" w:noHBand="0" w:noVBand="1"/>
      </w:tblPr>
      <w:tblGrid>
        <w:gridCol w:w="1575"/>
        <w:gridCol w:w="850"/>
        <w:gridCol w:w="567"/>
        <w:gridCol w:w="709"/>
        <w:gridCol w:w="567"/>
        <w:gridCol w:w="709"/>
        <w:gridCol w:w="567"/>
        <w:gridCol w:w="708"/>
        <w:gridCol w:w="709"/>
        <w:gridCol w:w="709"/>
        <w:gridCol w:w="567"/>
        <w:gridCol w:w="850"/>
      </w:tblGrid>
      <w:tr w:rsidR="00EF757D" w:rsidRPr="00716054" w:rsidTr="00EF757D">
        <w:trPr>
          <w:trHeight w:val="282"/>
        </w:trPr>
        <w:tc>
          <w:tcPr>
            <w:tcW w:w="157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C306B" w:rsidRPr="00716054" w:rsidRDefault="00CC306B" w:rsidP="00131E57">
            <w:pPr>
              <w:spacing w:after="0" w:line="360" w:lineRule="auto"/>
              <w:rPr>
                <w:rFonts w:ascii="Times New Roman" w:eastAsia="Times New Roman" w:hAnsi="Times New Roman"/>
                <w:b/>
                <w:bCs/>
                <w:sz w:val="12"/>
                <w:szCs w:val="12"/>
              </w:rPr>
            </w:pPr>
            <w:r w:rsidRPr="00716054">
              <w:rPr>
                <w:rFonts w:ascii="Times New Roman" w:eastAsia="Times New Roman" w:hAnsi="Times New Roman"/>
                <w:b/>
                <w:bCs/>
                <w:sz w:val="12"/>
                <w:szCs w:val="12"/>
              </w:rPr>
              <w:t>Tipo de produto</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CC306B" w:rsidRPr="00716054" w:rsidRDefault="00CC306B" w:rsidP="00131E57">
            <w:pPr>
              <w:spacing w:after="0" w:line="360" w:lineRule="auto"/>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2011</w:t>
            </w:r>
          </w:p>
        </w:tc>
        <w:tc>
          <w:tcPr>
            <w:tcW w:w="567"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360" w:lineRule="auto"/>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2012</w:t>
            </w:r>
          </w:p>
        </w:tc>
        <w:tc>
          <w:tcPr>
            <w:tcW w:w="70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C306B" w:rsidRPr="00716054" w:rsidRDefault="00CC306B" w:rsidP="00131E57">
            <w:pPr>
              <w:spacing w:after="0" w:line="360" w:lineRule="auto"/>
              <w:ind w:left="-85" w:right="-47" w:firstLine="85"/>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Var. %</w:t>
            </w:r>
          </w:p>
          <w:p w:rsidR="00CC306B" w:rsidRPr="00716054" w:rsidRDefault="00CC306B" w:rsidP="00131E57">
            <w:pPr>
              <w:spacing w:after="0" w:line="360" w:lineRule="auto"/>
              <w:ind w:left="-85" w:right="-47" w:firstLine="85"/>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2012/2011</w:t>
            </w:r>
          </w:p>
        </w:tc>
        <w:tc>
          <w:tcPr>
            <w:tcW w:w="567"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360" w:lineRule="auto"/>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2013</w:t>
            </w:r>
          </w:p>
        </w:tc>
        <w:tc>
          <w:tcPr>
            <w:tcW w:w="70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C306B" w:rsidRPr="00716054" w:rsidRDefault="00CC306B" w:rsidP="00131E57">
            <w:pPr>
              <w:spacing w:after="0" w:line="360" w:lineRule="auto"/>
              <w:ind w:left="-70" w:right="-32"/>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Var. %</w:t>
            </w:r>
          </w:p>
          <w:p w:rsidR="00CC306B" w:rsidRPr="00716054" w:rsidRDefault="00CC306B" w:rsidP="00131E57">
            <w:pPr>
              <w:spacing w:after="0" w:line="360" w:lineRule="auto"/>
              <w:ind w:left="-70" w:right="-32"/>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2013/2011</w:t>
            </w:r>
          </w:p>
        </w:tc>
        <w:tc>
          <w:tcPr>
            <w:tcW w:w="567"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360" w:lineRule="auto"/>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2014</w:t>
            </w:r>
          </w:p>
        </w:tc>
        <w:tc>
          <w:tcPr>
            <w:tcW w:w="70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CC306B" w:rsidRPr="00716054" w:rsidRDefault="00CC306B" w:rsidP="00131E57">
            <w:pPr>
              <w:spacing w:after="0" w:line="360" w:lineRule="auto"/>
              <w:ind w:left="-70" w:right="-17"/>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Var. %</w:t>
            </w:r>
          </w:p>
          <w:p w:rsidR="00CC306B" w:rsidRPr="00716054" w:rsidRDefault="00CC306B" w:rsidP="00131E57">
            <w:pPr>
              <w:spacing w:after="0" w:line="360" w:lineRule="auto"/>
              <w:ind w:left="-70" w:right="-17"/>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2014/2011</w:t>
            </w:r>
          </w:p>
        </w:tc>
        <w:tc>
          <w:tcPr>
            <w:tcW w:w="709"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CC306B" w:rsidRPr="00716054" w:rsidRDefault="00CC306B" w:rsidP="00131E57">
            <w:pPr>
              <w:spacing w:after="0" w:line="360" w:lineRule="auto"/>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2015</w:t>
            </w:r>
          </w:p>
        </w:tc>
        <w:tc>
          <w:tcPr>
            <w:tcW w:w="709" w:type="dxa"/>
            <w:tcBorders>
              <w:top w:val="single" w:sz="4" w:space="0" w:color="auto"/>
              <w:left w:val="nil"/>
              <w:bottom w:val="single" w:sz="4" w:space="0" w:color="auto"/>
              <w:right w:val="single" w:sz="8" w:space="0" w:color="auto"/>
            </w:tcBorders>
            <w:shd w:val="clear" w:color="auto" w:fill="F2F2F2" w:themeFill="background1" w:themeFillShade="F2"/>
            <w:noWrap/>
            <w:vAlign w:val="center"/>
          </w:tcPr>
          <w:p w:rsidR="00CC306B" w:rsidRPr="00716054" w:rsidRDefault="00CC306B" w:rsidP="00131E57">
            <w:pPr>
              <w:spacing w:after="0" w:line="360" w:lineRule="auto"/>
              <w:ind w:left="-130" w:right="-143"/>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Var. %</w:t>
            </w:r>
          </w:p>
          <w:p w:rsidR="00CC306B" w:rsidRPr="00716054" w:rsidRDefault="00CC306B" w:rsidP="00131E57">
            <w:pPr>
              <w:spacing w:after="0" w:line="360" w:lineRule="auto"/>
              <w:ind w:left="-130" w:right="-143"/>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2015/2011</w:t>
            </w:r>
          </w:p>
        </w:tc>
        <w:tc>
          <w:tcPr>
            <w:tcW w:w="567" w:type="dxa"/>
            <w:tcBorders>
              <w:top w:val="single" w:sz="4" w:space="0" w:color="auto"/>
              <w:left w:val="single" w:sz="8" w:space="0" w:color="auto"/>
              <w:bottom w:val="single" w:sz="4" w:space="0" w:color="auto"/>
              <w:right w:val="nil"/>
            </w:tcBorders>
            <w:shd w:val="clear" w:color="auto" w:fill="F2F2F2" w:themeFill="background1" w:themeFillShade="F2"/>
            <w:vAlign w:val="center"/>
          </w:tcPr>
          <w:p w:rsidR="00CC306B" w:rsidRPr="00716054" w:rsidRDefault="00CC306B" w:rsidP="00131E57">
            <w:pPr>
              <w:spacing w:after="0" w:line="360" w:lineRule="auto"/>
              <w:ind w:left="-130" w:right="-143"/>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2016</w:t>
            </w:r>
          </w:p>
        </w:tc>
        <w:tc>
          <w:tcPr>
            <w:tcW w:w="850" w:type="dxa"/>
            <w:tcBorders>
              <w:top w:val="single" w:sz="4" w:space="0" w:color="auto"/>
              <w:left w:val="nil"/>
              <w:bottom w:val="single" w:sz="4" w:space="0" w:color="auto"/>
              <w:right w:val="nil"/>
            </w:tcBorders>
            <w:shd w:val="clear" w:color="auto" w:fill="F2F2F2" w:themeFill="background1" w:themeFillShade="F2"/>
            <w:vAlign w:val="center"/>
          </w:tcPr>
          <w:p w:rsidR="00CC306B" w:rsidRPr="00716054" w:rsidRDefault="00CC306B" w:rsidP="00131E57">
            <w:pPr>
              <w:spacing w:after="0" w:line="360" w:lineRule="auto"/>
              <w:ind w:left="-130" w:right="-143"/>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Var. %</w:t>
            </w:r>
          </w:p>
          <w:p w:rsidR="00CC306B" w:rsidRPr="00716054" w:rsidRDefault="00CC306B" w:rsidP="00131E57">
            <w:pPr>
              <w:spacing w:after="0" w:line="360" w:lineRule="auto"/>
              <w:ind w:left="-130" w:right="-143"/>
              <w:jc w:val="center"/>
              <w:rPr>
                <w:rFonts w:ascii="Times New Roman" w:eastAsia="Times New Roman" w:hAnsi="Times New Roman"/>
                <w:b/>
                <w:bCs/>
                <w:sz w:val="12"/>
                <w:szCs w:val="12"/>
              </w:rPr>
            </w:pPr>
            <w:r w:rsidRPr="00716054">
              <w:rPr>
                <w:rFonts w:ascii="Times New Roman" w:eastAsia="Times New Roman" w:hAnsi="Times New Roman"/>
                <w:b/>
                <w:bCs/>
                <w:sz w:val="12"/>
                <w:szCs w:val="12"/>
              </w:rPr>
              <w:t>2016/2011</w:t>
            </w:r>
          </w:p>
        </w:tc>
      </w:tr>
      <w:tr w:rsidR="00CC306B" w:rsidRPr="00716054" w:rsidTr="003469C7">
        <w:trPr>
          <w:trHeight w:val="289"/>
        </w:trPr>
        <w:tc>
          <w:tcPr>
            <w:tcW w:w="1575"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Mel de abelha (em Kg)</w:t>
            </w:r>
          </w:p>
        </w:tc>
        <w:tc>
          <w:tcPr>
            <w:tcW w:w="850"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904.106</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406.266</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-55,06</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331.213</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-63,37</w:t>
            </w:r>
          </w:p>
        </w:tc>
        <w:tc>
          <w:tcPr>
            <w:tcW w:w="567" w:type="dxa"/>
            <w:tcBorders>
              <w:top w:val="nil"/>
              <w:left w:val="nil"/>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312.210</w:t>
            </w:r>
          </w:p>
        </w:tc>
        <w:tc>
          <w:tcPr>
            <w:tcW w:w="708"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-65,47</w:t>
            </w:r>
          </w:p>
        </w:tc>
        <w:tc>
          <w:tcPr>
            <w:tcW w:w="709" w:type="dxa"/>
            <w:tcBorders>
              <w:top w:val="nil"/>
              <w:left w:val="nil"/>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260.119</w:t>
            </w:r>
          </w:p>
        </w:tc>
        <w:tc>
          <w:tcPr>
            <w:tcW w:w="709" w:type="dxa"/>
            <w:tcBorders>
              <w:top w:val="nil"/>
              <w:left w:val="nil"/>
              <w:bottom w:val="nil"/>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-71,23</w:t>
            </w:r>
          </w:p>
        </w:tc>
        <w:tc>
          <w:tcPr>
            <w:tcW w:w="567" w:type="dxa"/>
            <w:tcBorders>
              <w:top w:val="nil"/>
              <w:left w:val="single" w:sz="8" w:space="0" w:color="auto"/>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203.967</w:t>
            </w:r>
          </w:p>
        </w:tc>
        <w:tc>
          <w:tcPr>
            <w:tcW w:w="850" w:type="dxa"/>
            <w:tcBorders>
              <w:top w:val="nil"/>
              <w:left w:val="nil"/>
              <w:bottom w:val="nil"/>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-77,44</w:t>
            </w:r>
          </w:p>
        </w:tc>
      </w:tr>
      <w:tr w:rsidR="00CC306B" w:rsidRPr="00716054" w:rsidTr="003469C7">
        <w:trPr>
          <w:trHeight w:val="303"/>
        </w:trPr>
        <w:tc>
          <w:tcPr>
            <w:tcW w:w="1575"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Leite de vaca (em mil litros)</w:t>
            </w:r>
          </w:p>
        </w:tc>
        <w:tc>
          <w:tcPr>
            <w:tcW w:w="850"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243.249</w:t>
            </w:r>
          </w:p>
        </w:tc>
        <w:tc>
          <w:tcPr>
            <w:tcW w:w="56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198.052</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-18,58</w:t>
            </w:r>
          </w:p>
        </w:tc>
        <w:tc>
          <w:tcPr>
            <w:tcW w:w="56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209.150</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-14,02</w:t>
            </w:r>
          </w:p>
        </w:tc>
        <w:tc>
          <w:tcPr>
            <w:tcW w:w="567"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232.338</w:t>
            </w:r>
          </w:p>
        </w:tc>
        <w:tc>
          <w:tcPr>
            <w:tcW w:w="708"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-4,49</w:t>
            </w:r>
          </w:p>
        </w:tc>
        <w:tc>
          <w:tcPr>
            <w:tcW w:w="709"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245.027</w:t>
            </w:r>
          </w:p>
        </w:tc>
        <w:tc>
          <w:tcPr>
            <w:tcW w:w="709" w:type="dxa"/>
            <w:tcBorders>
              <w:top w:val="nil"/>
              <w:left w:val="nil"/>
              <w:bottom w:val="single" w:sz="8" w:space="0" w:color="auto"/>
              <w:right w:val="single" w:sz="8" w:space="0" w:color="auto"/>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0,73</w:t>
            </w:r>
          </w:p>
        </w:tc>
        <w:tc>
          <w:tcPr>
            <w:tcW w:w="567" w:type="dxa"/>
            <w:tcBorders>
              <w:top w:val="nil"/>
              <w:left w:val="single" w:sz="8" w:space="0" w:color="auto"/>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227.747</w:t>
            </w:r>
          </w:p>
        </w:tc>
        <w:tc>
          <w:tcPr>
            <w:tcW w:w="850" w:type="dxa"/>
            <w:tcBorders>
              <w:top w:val="nil"/>
              <w:left w:val="nil"/>
              <w:bottom w:val="single" w:sz="8" w:space="0" w:color="auto"/>
              <w:right w:val="nil"/>
            </w:tcBorders>
            <w:shd w:val="clear" w:color="auto" w:fill="auto"/>
            <w:noWrap/>
            <w:vAlign w:val="center"/>
            <w:hideMark/>
          </w:tcPr>
          <w:p w:rsidR="00CC306B" w:rsidRPr="00716054" w:rsidRDefault="00CC306B" w:rsidP="00131E57">
            <w:pPr>
              <w:spacing w:after="0" w:line="360" w:lineRule="auto"/>
              <w:jc w:val="center"/>
              <w:rPr>
                <w:rFonts w:ascii="Times New Roman" w:eastAsia="Times New Roman" w:hAnsi="Times New Roman"/>
                <w:color w:val="000000"/>
                <w:sz w:val="12"/>
                <w:szCs w:val="12"/>
              </w:rPr>
            </w:pPr>
            <w:r w:rsidRPr="00716054">
              <w:rPr>
                <w:rFonts w:ascii="Times New Roman" w:eastAsia="Times New Roman" w:hAnsi="Times New Roman"/>
                <w:color w:val="000000"/>
                <w:sz w:val="12"/>
                <w:szCs w:val="12"/>
              </w:rPr>
              <w:t>-6,37</w:t>
            </w:r>
          </w:p>
        </w:tc>
      </w:tr>
    </w:tbl>
    <w:p w:rsidR="00CC306B" w:rsidRPr="00716054" w:rsidRDefault="00CC306B" w:rsidP="00131E57">
      <w:pPr>
        <w:spacing w:after="0" w:line="360" w:lineRule="auto"/>
        <w:rPr>
          <w:rFonts w:ascii="Times New Roman" w:hAnsi="Times New Roman"/>
          <w:sz w:val="20"/>
          <w:szCs w:val="20"/>
        </w:rPr>
      </w:pPr>
      <w:r w:rsidRPr="00716054">
        <w:rPr>
          <w:rFonts w:ascii="Times New Roman" w:hAnsi="Times New Roman"/>
          <w:b/>
          <w:sz w:val="20"/>
          <w:szCs w:val="20"/>
        </w:rPr>
        <w:t>Fonte:</w:t>
      </w:r>
      <w:r w:rsidRPr="00716054">
        <w:rPr>
          <w:rFonts w:ascii="Times New Roman" w:hAnsi="Times New Roman"/>
          <w:sz w:val="20"/>
          <w:szCs w:val="20"/>
        </w:rPr>
        <w:t xml:space="preserve"> PPM/IBGE/SIDRA (2016). Dados organizados pelos autores.</w:t>
      </w:r>
    </w:p>
    <w:p w:rsidR="00CC306B" w:rsidRPr="00716054" w:rsidRDefault="00054743" w:rsidP="00131E57">
      <w:pPr>
        <w:widowControl w:val="0"/>
        <w:spacing w:after="0" w:line="360" w:lineRule="auto"/>
        <w:jc w:val="both"/>
        <w:rPr>
          <w:rFonts w:ascii="Times New Roman" w:hAnsi="Times New Roman"/>
          <w:sz w:val="24"/>
          <w:szCs w:val="24"/>
        </w:rPr>
      </w:pPr>
      <w:r>
        <w:rPr>
          <w:rFonts w:ascii="Times New Roman" w:hAnsi="Times New Roman"/>
          <w:sz w:val="24"/>
          <w:szCs w:val="24"/>
        </w:rPr>
        <w:tab/>
      </w:r>
      <w:r w:rsidR="00CC306B" w:rsidRPr="00716054">
        <w:rPr>
          <w:rFonts w:ascii="Times New Roman" w:hAnsi="Times New Roman"/>
          <w:sz w:val="24"/>
          <w:szCs w:val="24"/>
        </w:rPr>
        <w:t xml:space="preserve">No que se </w:t>
      </w:r>
      <w:proofErr w:type="gramStart"/>
      <w:r w:rsidR="00CC306B" w:rsidRPr="00716054">
        <w:rPr>
          <w:rFonts w:ascii="Times New Roman" w:hAnsi="Times New Roman"/>
          <w:sz w:val="24"/>
          <w:szCs w:val="24"/>
        </w:rPr>
        <w:t>refere</w:t>
      </w:r>
      <w:proofErr w:type="gramEnd"/>
      <w:r w:rsidR="00CC306B" w:rsidRPr="00716054">
        <w:rPr>
          <w:rFonts w:ascii="Times New Roman" w:hAnsi="Times New Roman"/>
          <w:sz w:val="24"/>
          <w:szCs w:val="24"/>
        </w:rPr>
        <w:t xml:space="preserve"> à produção leiteira, os impactos foram determinados principalmente pela queda no rebanho bovino e pela eventual dificuldade em garantir ração e água para manter a produção no mesmo nível do período anterior à seca. Se em 2011 foram produzidos nas fazendas e sítios potiguares 243.249.000 litros de leite de vaca, em 2012 a quantidade caiu </w:t>
      </w:r>
      <w:r w:rsidR="00CC306B" w:rsidRPr="00716054">
        <w:rPr>
          <w:rFonts w:ascii="Times New Roman" w:hAnsi="Times New Roman"/>
          <w:sz w:val="24"/>
          <w:szCs w:val="24"/>
        </w:rPr>
        <w:lastRenderedPageBreak/>
        <w:t>para 198.052.000 litros, o que representa uma perda de -45.197.000 litros do referido produto. No ano de 2013, as perdas na produção de leite de vaca no RN vão se reduzindo. Mas apesar do movimento de recuperação esboçado pela atividade leiteira no ano de 2015, no final do intervalo analisado (2016) verificou-se uma redução de -15.502.000 litros em comparação ao ano de 2011, como pode ser visualizado na Tabela 5.</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Em termos percentuais, é perceptível que as quedas na produção de leite vaca foram amenizadas não apenas em virtude da manutenção da distribuição do volumoso para os rebanhos potiguares por meio de venda no balcão da CONAB, mas também pela demanda derivada do Programa do Leite</w:t>
      </w:r>
      <w:r w:rsidRPr="00716054">
        <w:rPr>
          <w:rStyle w:val="Refdenotaderodap"/>
          <w:rFonts w:ascii="Times New Roman" w:hAnsi="Times New Roman"/>
          <w:sz w:val="24"/>
          <w:szCs w:val="24"/>
        </w:rPr>
        <w:footnoteReference w:id="1"/>
      </w:r>
      <w:r w:rsidRPr="00716054">
        <w:rPr>
          <w:rFonts w:ascii="Times New Roman" w:hAnsi="Times New Roman"/>
          <w:sz w:val="24"/>
          <w:szCs w:val="24"/>
        </w:rPr>
        <w:t>. De acordo com Mendes e Araújo (2012), “</w:t>
      </w:r>
      <w:proofErr w:type="gramStart"/>
      <w:r w:rsidRPr="00716054">
        <w:rPr>
          <w:rFonts w:ascii="Times New Roman" w:hAnsi="Times New Roman"/>
          <w:sz w:val="24"/>
          <w:szCs w:val="24"/>
        </w:rPr>
        <w:t>cerca de 77</w:t>
      </w:r>
      <w:proofErr w:type="gramEnd"/>
      <w:r w:rsidRPr="00716054">
        <w:rPr>
          <w:rFonts w:ascii="Times New Roman" w:hAnsi="Times New Roman"/>
          <w:sz w:val="24"/>
          <w:szCs w:val="24"/>
        </w:rPr>
        <w:t>% do leite beneficiado diariamente pelas usinas é destinado ao programa, que também absorve 25% de todo o leite produzido [no RN]”. Assim sendo, mesmo registrando com certa frequência atrasos nos pagamentos realizados, a referida política tem representado uma medida importante para a manutenção da bacia leiteira do estado.</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Tudo indica que, após o choque provocado nos primeiros anos seca, vem ocorrendo um processo de reestruturação na cadeia produtiva do leite no estado do RN, caracterizada pela queda da participação dos pequenos produtores rurais na atividade, frente ao aumento relativo dos médios e grandes criadores que desenvolvem a atividade de modo intensivo, criando os animais em regime de confinamento e </w:t>
      </w:r>
      <w:proofErr w:type="spellStart"/>
      <w:proofErr w:type="gramStart"/>
      <w:r w:rsidRPr="00716054">
        <w:rPr>
          <w:rFonts w:ascii="Times New Roman" w:hAnsi="Times New Roman"/>
          <w:sz w:val="24"/>
          <w:szCs w:val="24"/>
        </w:rPr>
        <w:t>semi-confinamento</w:t>
      </w:r>
      <w:proofErr w:type="spellEnd"/>
      <w:proofErr w:type="gramEnd"/>
      <w:r w:rsidRPr="00716054">
        <w:rPr>
          <w:rFonts w:ascii="Times New Roman" w:hAnsi="Times New Roman"/>
          <w:sz w:val="24"/>
          <w:szCs w:val="24"/>
        </w:rPr>
        <w:t xml:space="preserve">. Isso significa dizer que vem se configurando um movimento progressivo de concentração no setor ligado à atividade leiteira potiguar, aspecto que necessita ser </w:t>
      </w:r>
      <w:proofErr w:type="gramStart"/>
      <w:r w:rsidRPr="00716054">
        <w:rPr>
          <w:rFonts w:ascii="Times New Roman" w:hAnsi="Times New Roman"/>
          <w:sz w:val="24"/>
          <w:szCs w:val="24"/>
        </w:rPr>
        <w:t>melhor</w:t>
      </w:r>
      <w:proofErr w:type="gramEnd"/>
      <w:r w:rsidRPr="00716054">
        <w:rPr>
          <w:rFonts w:ascii="Times New Roman" w:hAnsi="Times New Roman"/>
          <w:sz w:val="24"/>
          <w:szCs w:val="24"/>
        </w:rPr>
        <w:t xml:space="preserve"> investigado em futuras pesquisas.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Diante dos dados analisados, percebe-se que houve mudanças significativas em relação às devastações ocorridas nos rebanhos potiguares até a primeira metade do século XX, onde a falta de água e o </w:t>
      </w:r>
      <w:proofErr w:type="spellStart"/>
      <w:r w:rsidRPr="00716054">
        <w:rPr>
          <w:rFonts w:ascii="Times New Roman" w:hAnsi="Times New Roman"/>
          <w:sz w:val="24"/>
          <w:szCs w:val="24"/>
        </w:rPr>
        <w:t>escasseamento</w:t>
      </w:r>
      <w:proofErr w:type="spellEnd"/>
      <w:r w:rsidRPr="00716054">
        <w:rPr>
          <w:rFonts w:ascii="Times New Roman" w:hAnsi="Times New Roman"/>
          <w:sz w:val="24"/>
          <w:szCs w:val="24"/>
        </w:rPr>
        <w:t xml:space="preserve"> das pastagens naturais exercia efeitos catastróficos em relação à atividade criatória (MAIA GOMES, 2001). Entretanto, o que se evidencia nesta grande seca de 2012/2016 é que, embora as ações governamentais e privadas tenham contribuído para a manutenção dos rebanhos, não se conseguiu resolver completamente os problemas da pecuária nos períodos prolongados de estiagem, o que ficou evidenciado mediante a perda de bovinos e outros animais no período estudado.</w:t>
      </w:r>
    </w:p>
    <w:p w:rsidR="00CC306B"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lastRenderedPageBreak/>
        <w:t>Por conseguinte, é possível constatar que os efeitos da seca recaem de forma mais pesada sobre os produtores de baixa renda, pois os proprietários mais capitalizados, que representam uma minoria em relação ao total, são relativamente menos afetados pelas estiagens, tendo em vista o fato de possuírem mecanismos para se defender dos danos decorrentes da escassez de chuvas no espaço geográfico norte-rio-grandense. Na verdade, os abalos maiores continuam se concentrando no segmento que se dedica à produção alimentícia e à pecuária extensiva, ou seja, a maioria dos agricultores familiares que habitam o semiárido potiguar. A novidade é que o citado grupo populacional parece apresentar uma maior resistência em relação às adversidades climáticas, especialmente devido às políticas sociais do governo federal, as quais têm funcionado como uma espécie de “colchão amortecedor” da crise da agropecuária de sequeiro e compensado precariamente a inexistência de uma política de desenvolvimento rural em nível estadual.</w:t>
      </w:r>
    </w:p>
    <w:p w:rsidR="00362511" w:rsidRPr="00716054" w:rsidRDefault="00362511" w:rsidP="00131E57">
      <w:pPr>
        <w:spacing w:after="0" w:line="360" w:lineRule="auto"/>
        <w:ind w:firstLine="851"/>
        <w:jc w:val="both"/>
        <w:rPr>
          <w:rFonts w:ascii="Times New Roman" w:hAnsi="Times New Roman"/>
          <w:sz w:val="24"/>
          <w:szCs w:val="24"/>
        </w:rPr>
      </w:pPr>
    </w:p>
    <w:p w:rsidR="00CC306B" w:rsidRPr="00716054" w:rsidRDefault="00CC306B" w:rsidP="00131E57">
      <w:pPr>
        <w:spacing w:after="0" w:line="360" w:lineRule="auto"/>
        <w:jc w:val="both"/>
        <w:rPr>
          <w:rFonts w:ascii="Times New Roman" w:hAnsi="Times New Roman"/>
          <w:b/>
          <w:sz w:val="24"/>
          <w:szCs w:val="24"/>
        </w:rPr>
      </w:pPr>
      <w:bookmarkStart w:id="11" w:name="_Toc484048918"/>
      <w:r w:rsidRPr="00716054">
        <w:rPr>
          <w:rFonts w:ascii="Times New Roman" w:hAnsi="Times New Roman"/>
          <w:b/>
          <w:sz w:val="24"/>
          <w:szCs w:val="24"/>
        </w:rPr>
        <w:t>5 – CONSIDERAÇÕES FINAIS</w:t>
      </w:r>
      <w:bookmarkEnd w:id="11"/>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O objetivo desse artigo foi fazer um breve balanço histórico das secas no Rio Grande do Norte (RN) e estudar os seus efeitos na agropecuária estadual no período de 2012 a 2016. As secas são fenômenos climáticos extremos que tendem a se agravar por conta do aquecimento global. Vale salientar, como foi demonstrado, que no caso potiguar, as estiagens representam um problema recorrente característico do espaço físico estadual, causando sérios impactos tanto no abastecimento hídrico quanto nas atividades produtivas da região, sobretudo no que se refere às lavouras de sequeiro e à criação de gado em regime extensivo.</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Naturalmente, na última década do século XX, por conta do avanço das políticas de transferência de renda e de proteção social e da construção de obras de infraestrutura de armazenamento de água (barragens, açudes e cisternas), houve uma redução dos efeitos da estiagem sobre a população sertaneja. No entanto, os rebanhos e as lavouras alimentares continuam extremamente vulneráveis. Esse problema atinge todas as microrregiões potiguares, principalmente aquelas que não contam com reservas de água acumuladas.</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Com efeito, a análise dos dados obtidos nos levantamentos do IBGE permitiu avaliar que as carências associadas à atividade agrícola potiguar se refletiram em quedas na produção das lavouras exploradas, resultado da ocorrência da grande seca de 2012 a 2016. Note-se que tais impactos foram concentrados de forma mais acentuada nas plantações desenvolvidas em regime de sequeiro (milho, feijão, mandioca, castanha de caju etc.), enquanto as culturas comerciais (cana-de-açúcar e frutas irrigadas, principalmente), desenvolvidas </w:t>
      </w:r>
      <w:r w:rsidRPr="00716054">
        <w:rPr>
          <w:rFonts w:ascii="Times New Roman" w:hAnsi="Times New Roman"/>
          <w:sz w:val="24"/>
          <w:szCs w:val="24"/>
        </w:rPr>
        <w:lastRenderedPageBreak/>
        <w:t>majoritariamente pela agricultura patronal, tiveram perdas mais modestas e mantiveram resultados positivos em seus indicadores relativamente ao ano de inverno normal.</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Já entre os rebanhos, os prejuízos de maior expressão foram registrados entre os bovinos. Isso se deve aos elevados gastos com a sua manutenção, ou ainda, devido a mortes precoces devido </w:t>
      </w:r>
      <w:proofErr w:type="gramStart"/>
      <w:r w:rsidRPr="00716054">
        <w:rPr>
          <w:rFonts w:ascii="Times New Roman" w:hAnsi="Times New Roman"/>
          <w:sz w:val="24"/>
          <w:szCs w:val="24"/>
        </w:rPr>
        <w:t>à</w:t>
      </w:r>
      <w:proofErr w:type="gramEnd"/>
      <w:r w:rsidRPr="00716054">
        <w:rPr>
          <w:rFonts w:ascii="Times New Roman" w:hAnsi="Times New Roman"/>
          <w:sz w:val="24"/>
          <w:szCs w:val="24"/>
        </w:rPr>
        <w:t xml:space="preserve"> forme e à sede durante a seca, o que pode ter levado os pequenos produtores a substitui-los por animais de pequeno porte como os ovinos e caprinos. Embora tais perdas tenham sido minimizadas em virtude da distribuição de ração subsidiada pelo governo e por linhas de crédito especiais como o AGROAMIGO, às quedas nos rebanhos apresentaram números significativos durante o período estudado, evidenciando a vulnerabilidade da pecuária extensiva desenvolvida por grande parte dos pecuaristas do RN.</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As carências apresentadas, contudo, são parcialmente amenizadas por políticas assistenciais criadas com o intuito de proteger as famílias pobres que se dedicam a produção agrícola ou não, na forma de transferências de renda. Essas ações exerceram o papel de compensar a perda das lavouras e dos animais pertencentes às famílias agrícolas que passaram por dificuldades em virtude da escassez pluviométrica no período de 2012 a 2016. Entretanto, o que se verifica é que a ação governamental surtiu efeitos positivos substanciais apenas nas condições de subsistência da população sertaneja, sem desempenhar um papel estruturante no sentido de prover acesso às condições mínimas para a modernização das técnicas produtivas utilizadas pela mesma, ou para a aplicação em atividades econômicas viáveis e adaptadas ao meio ambiente regional.</w:t>
      </w:r>
    </w:p>
    <w:p w:rsidR="00CC306B" w:rsidRPr="00716054" w:rsidRDefault="00CC306B" w:rsidP="00131E57">
      <w:pPr>
        <w:spacing w:after="0" w:line="360" w:lineRule="auto"/>
        <w:ind w:firstLine="708"/>
        <w:jc w:val="both"/>
        <w:rPr>
          <w:rFonts w:ascii="Times New Roman" w:hAnsi="Times New Roman"/>
          <w:sz w:val="24"/>
          <w:szCs w:val="24"/>
        </w:rPr>
      </w:pPr>
      <w:r w:rsidRPr="00716054">
        <w:rPr>
          <w:rFonts w:ascii="Times New Roman" w:hAnsi="Times New Roman"/>
          <w:sz w:val="24"/>
          <w:szCs w:val="24"/>
        </w:rPr>
        <w:t xml:space="preserve">Portanto, este é um desafio que continua aberto para os formuladores de políticas públicas voltadas para o desenvolvimento do setor primário potiguar. </w:t>
      </w:r>
      <w:bookmarkStart w:id="12" w:name="_Toc484048919"/>
      <w:r w:rsidRPr="00716054">
        <w:rPr>
          <w:rFonts w:ascii="Times New Roman" w:hAnsi="Times New Roman"/>
          <w:sz w:val="24"/>
          <w:szCs w:val="24"/>
        </w:rPr>
        <w:t>Os prejuízos causados pela seca descapitalizou a maioria dos produtores e comprometeu significativamente a produção de alimentos no estado. Nesse contexto, as medidas emergenciais adotadas são importantes, mas insuficientes. A recuperação da agropecuária potiguar da severa crise que atravessa requer planejamento e políticas de longo prazo. Dentre essas medidas, o reaparelhamento e o fortalecimento dos órgãos públicos de assistência técnica e apoio à agropecuária, em nível municipal e estadual, figuram como ações estratégicas para enfrentar a situação, algo difícil de imaginar no atual quadro de escassez de recursos orçamentários e de ideais progressistas que se verifica no estado.</w:t>
      </w:r>
    </w:p>
    <w:p w:rsidR="00CC306B" w:rsidRDefault="00CC306B" w:rsidP="00131E57">
      <w:pPr>
        <w:spacing w:after="0" w:line="360" w:lineRule="auto"/>
        <w:jc w:val="both"/>
        <w:rPr>
          <w:rFonts w:ascii="Times New Roman" w:hAnsi="Times New Roman"/>
          <w:sz w:val="24"/>
          <w:szCs w:val="24"/>
        </w:rPr>
      </w:pPr>
    </w:p>
    <w:p w:rsidR="00527CA7" w:rsidRDefault="00527CA7" w:rsidP="00131E57">
      <w:pPr>
        <w:spacing w:after="0" w:line="360" w:lineRule="auto"/>
        <w:jc w:val="both"/>
        <w:rPr>
          <w:rFonts w:ascii="Times New Roman" w:hAnsi="Times New Roman"/>
          <w:sz w:val="24"/>
          <w:szCs w:val="24"/>
        </w:rPr>
      </w:pPr>
    </w:p>
    <w:p w:rsidR="00616F26" w:rsidRDefault="00616F26" w:rsidP="00131E57">
      <w:pPr>
        <w:spacing w:after="0" w:line="360" w:lineRule="auto"/>
        <w:jc w:val="both"/>
        <w:rPr>
          <w:rFonts w:ascii="Times New Roman" w:hAnsi="Times New Roman"/>
          <w:sz w:val="24"/>
          <w:szCs w:val="24"/>
        </w:rPr>
      </w:pPr>
    </w:p>
    <w:p w:rsidR="00616F26" w:rsidRPr="00716054" w:rsidRDefault="00616F26" w:rsidP="00131E57">
      <w:pPr>
        <w:spacing w:after="0" w:line="360" w:lineRule="auto"/>
        <w:jc w:val="both"/>
        <w:rPr>
          <w:rFonts w:ascii="Times New Roman" w:hAnsi="Times New Roman"/>
          <w:sz w:val="24"/>
          <w:szCs w:val="24"/>
        </w:rPr>
      </w:pPr>
      <w:bookmarkStart w:id="13" w:name="_GoBack"/>
      <w:bookmarkEnd w:id="13"/>
    </w:p>
    <w:p w:rsidR="00CC306B" w:rsidRPr="00716054" w:rsidRDefault="00CC306B" w:rsidP="00131E57">
      <w:pPr>
        <w:spacing w:after="0" w:line="360" w:lineRule="auto"/>
        <w:jc w:val="both"/>
        <w:rPr>
          <w:rFonts w:ascii="Times New Roman" w:hAnsi="Times New Roman"/>
          <w:b/>
          <w:sz w:val="24"/>
          <w:szCs w:val="24"/>
        </w:rPr>
      </w:pPr>
      <w:r w:rsidRPr="00716054">
        <w:rPr>
          <w:rFonts w:ascii="Times New Roman" w:hAnsi="Times New Roman"/>
          <w:b/>
          <w:sz w:val="24"/>
          <w:szCs w:val="24"/>
        </w:rPr>
        <w:lastRenderedPageBreak/>
        <w:t>6 - REFERÊNCIAS</w:t>
      </w:r>
      <w:bookmarkEnd w:id="12"/>
    </w:p>
    <w:p w:rsidR="00CC306B" w:rsidRPr="00D21B4B" w:rsidRDefault="00CC306B" w:rsidP="00131E57">
      <w:pPr>
        <w:spacing w:after="0" w:line="360" w:lineRule="auto"/>
        <w:jc w:val="both"/>
        <w:rPr>
          <w:rFonts w:ascii="Times New Roman" w:hAnsi="Times New Roman"/>
          <w:sz w:val="24"/>
          <w:szCs w:val="24"/>
        </w:rPr>
      </w:pPr>
    </w:p>
    <w:p w:rsidR="00D21B4B" w:rsidRPr="00D21B4B" w:rsidRDefault="002D176D" w:rsidP="00527CA7">
      <w:pPr>
        <w:spacing w:after="120" w:line="240" w:lineRule="auto"/>
        <w:jc w:val="both"/>
        <w:rPr>
          <w:rFonts w:ascii="Times New Roman" w:hAnsi="Times New Roman"/>
          <w:sz w:val="24"/>
          <w:szCs w:val="24"/>
        </w:rPr>
      </w:pPr>
      <w:r>
        <w:rPr>
          <w:rFonts w:ascii="Times New Roman" w:hAnsi="Times New Roman"/>
          <w:sz w:val="24"/>
          <w:szCs w:val="24"/>
        </w:rPr>
        <w:t>AB’</w:t>
      </w:r>
      <w:r w:rsidR="00D21B4B" w:rsidRPr="00D21B4B">
        <w:rPr>
          <w:rFonts w:ascii="Times New Roman" w:hAnsi="Times New Roman"/>
          <w:sz w:val="24"/>
          <w:szCs w:val="24"/>
        </w:rPr>
        <w:t xml:space="preserve">SÁBER, A. N. Sertões e sertanejos: uma geografia humana sofrida. </w:t>
      </w:r>
      <w:r w:rsidR="00D21B4B" w:rsidRPr="00C5668D">
        <w:rPr>
          <w:rFonts w:ascii="Times New Roman" w:hAnsi="Times New Roman"/>
          <w:b/>
          <w:sz w:val="24"/>
          <w:szCs w:val="24"/>
        </w:rPr>
        <w:t>Estudos Avançados</w:t>
      </w:r>
      <w:r w:rsidR="00D21B4B" w:rsidRPr="00D21B4B">
        <w:rPr>
          <w:rFonts w:ascii="Times New Roman" w:hAnsi="Times New Roman"/>
          <w:sz w:val="24"/>
          <w:szCs w:val="24"/>
        </w:rPr>
        <w:t>. São Paulo, v.13, n. 36, maio/</w:t>
      </w:r>
      <w:proofErr w:type="spellStart"/>
      <w:r w:rsidR="00D21B4B" w:rsidRPr="00D21B4B">
        <w:rPr>
          <w:rFonts w:ascii="Times New Roman" w:hAnsi="Times New Roman"/>
          <w:sz w:val="24"/>
          <w:szCs w:val="24"/>
        </w:rPr>
        <w:t>ago</w:t>
      </w:r>
      <w:proofErr w:type="spellEnd"/>
      <w:r w:rsidR="00D21B4B" w:rsidRPr="00D21B4B">
        <w:rPr>
          <w:rFonts w:ascii="Times New Roman" w:hAnsi="Times New Roman"/>
          <w:sz w:val="24"/>
          <w:szCs w:val="24"/>
        </w:rPr>
        <w:t>, p. 7-59, 1999.</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AGÊNCIA NACIONAL DE ÁGUAS – ANA. </w:t>
      </w:r>
      <w:r w:rsidRPr="00716054">
        <w:rPr>
          <w:rFonts w:ascii="Times New Roman" w:hAnsi="Times New Roman"/>
          <w:b/>
          <w:sz w:val="24"/>
          <w:szCs w:val="24"/>
        </w:rPr>
        <w:t>Açudes do semiárido</w:t>
      </w:r>
      <w:r w:rsidRPr="00716054">
        <w:rPr>
          <w:rFonts w:ascii="Times New Roman" w:hAnsi="Times New Roman"/>
          <w:sz w:val="24"/>
          <w:szCs w:val="24"/>
        </w:rPr>
        <w:t>. 2017. Disponível em: &lt;</w:t>
      </w:r>
      <w:proofErr w:type="gramStart"/>
      <w:r w:rsidRPr="00716054">
        <w:rPr>
          <w:rFonts w:ascii="Times New Roman" w:hAnsi="Times New Roman"/>
          <w:sz w:val="24"/>
          <w:szCs w:val="24"/>
        </w:rPr>
        <w:t>http://www2.ana.gov.br/Paginas/servicos/saladesituacao/v2/acudesdosemiarido.</w:t>
      </w:r>
      <w:proofErr w:type="gramEnd"/>
      <w:r w:rsidRPr="00716054">
        <w:rPr>
          <w:rFonts w:ascii="Times New Roman" w:hAnsi="Times New Roman"/>
          <w:sz w:val="24"/>
          <w:szCs w:val="24"/>
        </w:rPr>
        <w:t>aspx&gt;. Acesso em: 01 abr. 2017.</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ALPINO, T. M. A.; FREITAS, C. M.; COSTA, A. M. Seca como um desastre. </w:t>
      </w:r>
      <w:r w:rsidRPr="00716054">
        <w:rPr>
          <w:rFonts w:ascii="Times New Roman" w:hAnsi="Times New Roman"/>
          <w:b/>
          <w:sz w:val="24"/>
          <w:szCs w:val="24"/>
        </w:rPr>
        <w:t>Revista Ciência &amp; Trópico</w:t>
      </w:r>
      <w:r w:rsidRPr="00716054">
        <w:rPr>
          <w:rFonts w:ascii="Times New Roman" w:hAnsi="Times New Roman"/>
          <w:sz w:val="24"/>
          <w:szCs w:val="24"/>
        </w:rPr>
        <w:t>. Recife, v. 38, n. 2, p.109-134, 2014.</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ANDRADE, M. C. </w:t>
      </w:r>
      <w:r w:rsidRPr="00716054">
        <w:rPr>
          <w:rFonts w:ascii="Times New Roman" w:hAnsi="Times New Roman"/>
          <w:b/>
          <w:sz w:val="24"/>
          <w:szCs w:val="24"/>
        </w:rPr>
        <w:t>A problemática da seca</w:t>
      </w:r>
      <w:r w:rsidRPr="00716054">
        <w:rPr>
          <w:rFonts w:ascii="Times New Roman" w:hAnsi="Times New Roman"/>
          <w:sz w:val="24"/>
          <w:szCs w:val="24"/>
        </w:rPr>
        <w:t xml:space="preserve">. Recife: </w:t>
      </w:r>
      <w:proofErr w:type="spellStart"/>
      <w:r w:rsidRPr="00716054">
        <w:rPr>
          <w:rFonts w:ascii="Times New Roman" w:hAnsi="Times New Roman"/>
          <w:sz w:val="24"/>
          <w:szCs w:val="24"/>
        </w:rPr>
        <w:t>Liber</w:t>
      </w:r>
      <w:proofErr w:type="spellEnd"/>
      <w:r w:rsidRPr="00716054">
        <w:rPr>
          <w:rFonts w:ascii="Times New Roman" w:hAnsi="Times New Roman"/>
          <w:sz w:val="24"/>
          <w:szCs w:val="24"/>
        </w:rPr>
        <w:t xml:space="preserve"> Gráfica e Editora, 1999.</w:t>
      </w:r>
    </w:p>
    <w:p w:rsidR="00A66C40" w:rsidRDefault="00A66C40" w:rsidP="00527CA7">
      <w:pPr>
        <w:tabs>
          <w:tab w:val="left" w:pos="5530"/>
        </w:tabs>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______</w:t>
      </w:r>
      <w:r w:rsidRPr="00A66C40">
        <w:rPr>
          <w:rFonts w:ascii="Times New Roman" w:hAnsi="Times New Roman"/>
          <w:sz w:val="24"/>
          <w:szCs w:val="24"/>
        </w:rPr>
        <w:t xml:space="preserve">. </w:t>
      </w:r>
      <w:r w:rsidRPr="00A66C40">
        <w:rPr>
          <w:rFonts w:ascii="Times New Roman" w:hAnsi="Times New Roman"/>
          <w:b/>
          <w:sz w:val="24"/>
          <w:szCs w:val="24"/>
        </w:rPr>
        <w:t>A terra e o homem no Nordeste</w:t>
      </w:r>
      <w:r w:rsidRPr="00A66C40">
        <w:rPr>
          <w:rFonts w:ascii="Times New Roman" w:hAnsi="Times New Roman"/>
          <w:sz w:val="24"/>
          <w:szCs w:val="24"/>
        </w:rPr>
        <w:t xml:space="preserve">: contribuição ao estudo da questão agrária no Nordeste. 7. </w:t>
      </w:r>
      <w:proofErr w:type="gramStart"/>
      <w:r w:rsidRPr="00A66C40">
        <w:rPr>
          <w:rFonts w:ascii="Times New Roman" w:hAnsi="Times New Roman"/>
          <w:sz w:val="24"/>
          <w:szCs w:val="24"/>
        </w:rPr>
        <w:t>ed.</w:t>
      </w:r>
      <w:proofErr w:type="gramEnd"/>
      <w:r w:rsidRPr="00A66C40">
        <w:rPr>
          <w:rFonts w:ascii="Times New Roman" w:hAnsi="Times New Roman"/>
          <w:sz w:val="24"/>
          <w:szCs w:val="24"/>
        </w:rPr>
        <w:t xml:space="preserve"> São Paulo: Cortez, 2005.</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AQUINO, J. R.; LACERDA, M. A. D. Magnitude e condições de reprodução econômica dos agricultores familiares pobres no semiárido brasileiro: evidências a partir do Rio Grande do Norte. </w:t>
      </w:r>
      <w:r w:rsidRPr="00716054">
        <w:rPr>
          <w:rFonts w:ascii="Times New Roman" w:hAnsi="Times New Roman"/>
          <w:b/>
          <w:sz w:val="24"/>
          <w:szCs w:val="24"/>
        </w:rPr>
        <w:t>Revista de Economia e Sociologia Rural</w:t>
      </w:r>
      <w:r w:rsidRPr="00716054">
        <w:rPr>
          <w:rFonts w:ascii="Times New Roman" w:hAnsi="Times New Roman"/>
          <w:sz w:val="24"/>
          <w:szCs w:val="24"/>
        </w:rPr>
        <w:t>. Piracicaba, SP, v. 52, p.167-188, 2014.</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AQUINO, J. R.; NASCIMENTO, C. A. O “novo” rural do Rio Grande do Norte revisitado. </w:t>
      </w:r>
      <w:r w:rsidRPr="00716054">
        <w:rPr>
          <w:rFonts w:ascii="Times New Roman" w:hAnsi="Times New Roman"/>
          <w:b/>
          <w:sz w:val="24"/>
          <w:szCs w:val="24"/>
        </w:rPr>
        <w:t>Caderno de Ciências Sociais Aplicadas</w:t>
      </w:r>
      <w:r w:rsidRPr="00716054">
        <w:rPr>
          <w:rFonts w:ascii="Times New Roman" w:hAnsi="Times New Roman"/>
          <w:sz w:val="24"/>
          <w:szCs w:val="24"/>
        </w:rPr>
        <w:t>. Vitória da Conquista, n. 20, p.135-157, 2015.</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AQUINO, J. R.; FREIRE, J. A.; CARVALHO, A. C. A. T. Importância, heterogeneidade e pobreza da agricultura familiar no estado do Rio Grande do Norte. In: CONGRESSO DA SOBER NORDESTE, 12</w:t>
      </w:r>
      <w:proofErr w:type="gramStart"/>
      <w:r w:rsidRPr="00716054">
        <w:rPr>
          <w:rFonts w:ascii="Times New Roman" w:hAnsi="Times New Roman"/>
          <w:sz w:val="24"/>
          <w:szCs w:val="24"/>
        </w:rPr>
        <w:t>.,</w:t>
      </w:r>
      <w:proofErr w:type="gramEnd"/>
      <w:r w:rsidRPr="00716054">
        <w:rPr>
          <w:rFonts w:ascii="Times New Roman" w:hAnsi="Times New Roman"/>
          <w:sz w:val="24"/>
          <w:szCs w:val="24"/>
        </w:rPr>
        <w:t xml:space="preserve"> 2017, Itabaiana, </w:t>
      </w:r>
      <w:r w:rsidRPr="00716054">
        <w:rPr>
          <w:rFonts w:ascii="Times New Roman" w:hAnsi="Times New Roman"/>
          <w:b/>
          <w:sz w:val="24"/>
          <w:szCs w:val="24"/>
        </w:rPr>
        <w:t>Anais...</w:t>
      </w:r>
      <w:r w:rsidRPr="00716054">
        <w:rPr>
          <w:rFonts w:ascii="Times New Roman" w:hAnsi="Times New Roman"/>
          <w:sz w:val="24"/>
          <w:szCs w:val="24"/>
        </w:rPr>
        <w:t xml:space="preserve"> Itabaiana/SE: SOBER, 2017. 20p.</w:t>
      </w:r>
      <w:r w:rsidR="003469C7">
        <w:rPr>
          <w:rFonts w:ascii="Times New Roman" w:hAnsi="Times New Roman"/>
          <w:sz w:val="24"/>
          <w:szCs w:val="24"/>
        </w:rPr>
        <w:t xml:space="preserve"> (No prelo).</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ARAÚJO, R. RN tem 80 cidades em rodízio d’água. </w:t>
      </w:r>
      <w:r w:rsidRPr="00716054">
        <w:rPr>
          <w:rFonts w:ascii="Times New Roman" w:hAnsi="Times New Roman"/>
          <w:b/>
          <w:sz w:val="24"/>
          <w:szCs w:val="24"/>
        </w:rPr>
        <w:t>Tribuna do Norte</w:t>
      </w:r>
      <w:r w:rsidRPr="00716054">
        <w:rPr>
          <w:rFonts w:ascii="Times New Roman" w:hAnsi="Times New Roman"/>
          <w:sz w:val="24"/>
          <w:szCs w:val="24"/>
        </w:rPr>
        <w:t>. Natal/RN, p. 11-14, 09 out. 2015. (Caderno Natal).</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ARAÚJO, L. A.; LIMA, J. P. R. Transferências de renda e empregos públicos na economia sem produção do semiárido nordestino. </w:t>
      </w:r>
      <w:r w:rsidRPr="00716054">
        <w:rPr>
          <w:rFonts w:ascii="Times New Roman" w:hAnsi="Times New Roman"/>
          <w:b/>
          <w:sz w:val="24"/>
          <w:szCs w:val="24"/>
        </w:rPr>
        <w:t>Planejamento e Políticas Públicas</w:t>
      </w:r>
      <w:r w:rsidRPr="00716054">
        <w:rPr>
          <w:rFonts w:ascii="Times New Roman" w:hAnsi="Times New Roman"/>
          <w:sz w:val="24"/>
          <w:szCs w:val="24"/>
        </w:rPr>
        <w:t>. Brasília/DF, v.1, n. 33, p. 45-77, jul./dez. 2009.</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BNB. </w:t>
      </w:r>
      <w:r w:rsidRPr="00716054">
        <w:rPr>
          <w:rFonts w:ascii="Times New Roman" w:hAnsi="Times New Roman"/>
          <w:b/>
          <w:sz w:val="24"/>
          <w:szCs w:val="24"/>
        </w:rPr>
        <w:t>Nordeste do Brasil</w:t>
      </w:r>
      <w:r w:rsidRPr="00716054">
        <w:rPr>
          <w:rFonts w:ascii="Times New Roman" w:hAnsi="Times New Roman"/>
          <w:sz w:val="24"/>
          <w:szCs w:val="24"/>
        </w:rPr>
        <w:t>: sinopse estatística 2014. Fortaleza: Banco do Nordeste do Brasil, 2014.</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CARVALHO, C. P. O. O novo padrão de crescimento do Nordeste Semiárido. </w:t>
      </w:r>
      <w:r w:rsidRPr="00716054">
        <w:rPr>
          <w:rFonts w:ascii="Times New Roman" w:hAnsi="Times New Roman"/>
          <w:b/>
          <w:sz w:val="24"/>
          <w:szCs w:val="24"/>
        </w:rPr>
        <w:t>Revista Econômica do Nordeste</w:t>
      </w:r>
      <w:r w:rsidRPr="00716054">
        <w:rPr>
          <w:rFonts w:ascii="Times New Roman" w:hAnsi="Times New Roman"/>
          <w:sz w:val="24"/>
          <w:szCs w:val="24"/>
        </w:rPr>
        <w:t xml:space="preserve">. Fortaleza, v. 45, n. 3, p.160-184, </w:t>
      </w:r>
      <w:proofErr w:type="spellStart"/>
      <w:r w:rsidRPr="00716054">
        <w:rPr>
          <w:rFonts w:ascii="Times New Roman" w:hAnsi="Times New Roman"/>
          <w:sz w:val="24"/>
          <w:szCs w:val="24"/>
        </w:rPr>
        <w:t>jul</w:t>
      </w:r>
      <w:proofErr w:type="spellEnd"/>
      <w:r w:rsidRPr="00716054">
        <w:rPr>
          <w:rFonts w:ascii="Times New Roman" w:hAnsi="Times New Roman"/>
          <w:sz w:val="24"/>
          <w:szCs w:val="24"/>
        </w:rPr>
        <w:t>-set, 2014.</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CONAB. Castanha de caju: Rio Grande do Norte. </w:t>
      </w:r>
      <w:r w:rsidRPr="00716054">
        <w:rPr>
          <w:rFonts w:ascii="Times New Roman" w:hAnsi="Times New Roman"/>
          <w:b/>
          <w:sz w:val="24"/>
          <w:szCs w:val="24"/>
        </w:rPr>
        <w:t>Conjuntura Mensal</w:t>
      </w:r>
      <w:r w:rsidRPr="00716054">
        <w:rPr>
          <w:rFonts w:ascii="Times New Roman" w:hAnsi="Times New Roman"/>
          <w:sz w:val="24"/>
          <w:szCs w:val="24"/>
        </w:rPr>
        <w:t xml:space="preserve">. Natal, ano </w:t>
      </w:r>
      <w:proofErr w:type="gramStart"/>
      <w:r w:rsidRPr="00716054">
        <w:rPr>
          <w:rFonts w:ascii="Times New Roman" w:hAnsi="Times New Roman"/>
          <w:sz w:val="24"/>
          <w:szCs w:val="24"/>
        </w:rPr>
        <w:t>1</w:t>
      </w:r>
      <w:proofErr w:type="gramEnd"/>
      <w:r w:rsidRPr="00716054">
        <w:rPr>
          <w:rFonts w:ascii="Times New Roman" w:hAnsi="Times New Roman"/>
          <w:sz w:val="24"/>
          <w:szCs w:val="24"/>
        </w:rPr>
        <w:t>, v. 1, p. 1-6, ago. 2016.</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EMPARN. </w:t>
      </w:r>
      <w:r w:rsidRPr="00716054">
        <w:rPr>
          <w:rFonts w:ascii="Times New Roman" w:hAnsi="Times New Roman"/>
          <w:b/>
          <w:sz w:val="24"/>
          <w:szCs w:val="24"/>
        </w:rPr>
        <w:t>Monitoramento pluviométrico do RN</w:t>
      </w:r>
      <w:r w:rsidRPr="00716054">
        <w:rPr>
          <w:rFonts w:ascii="Times New Roman" w:hAnsi="Times New Roman"/>
          <w:sz w:val="24"/>
          <w:szCs w:val="24"/>
        </w:rPr>
        <w:t>: análise de chuvas no ano. Natal/RN, 2017. Disponível em: &lt;</w:t>
      </w:r>
      <w:proofErr w:type="gramStart"/>
      <w:r w:rsidRPr="00716054">
        <w:rPr>
          <w:rFonts w:ascii="Times New Roman" w:hAnsi="Times New Roman"/>
          <w:sz w:val="24"/>
          <w:szCs w:val="24"/>
        </w:rPr>
        <w:t>http://187.61.173.26/monitoramento/monitoramento.</w:t>
      </w:r>
      <w:proofErr w:type="gramEnd"/>
      <w:r w:rsidRPr="00716054">
        <w:rPr>
          <w:rFonts w:ascii="Times New Roman" w:hAnsi="Times New Roman"/>
          <w:sz w:val="24"/>
          <w:szCs w:val="24"/>
        </w:rPr>
        <w:t xml:space="preserve">php&gt;. Acesso em: </w:t>
      </w:r>
      <w:proofErr w:type="gramStart"/>
      <w:r w:rsidRPr="00716054">
        <w:rPr>
          <w:rFonts w:ascii="Times New Roman" w:hAnsi="Times New Roman"/>
          <w:sz w:val="24"/>
          <w:szCs w:val="24"/>
        </w:rPr>
        <w:t>7</w:t>
      </w:r>
      <w:proofErr w:type="gramEnd"/>
      <w:r w:rsidRPr="00716054">
        <w:rPr>
          <w:rFonts w:ascii="Times New Roman" w:hAnsi="Times New Roman"/>
          <w:sz w:val="24"/>
          <w:szCs w:val="24"/>
        </w:rPr>
        <w:t xml:space="preserve"> abr. 2017.</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FELIPE, J. L. A.; CARVALHO, E. A.; ROCHA, A. P. B. </w:t>
      </w:r>
      <w:r w:rsidRPr="00716054">
        <w:rPr>
          <w:rFonts w:ascii="Times New Roman" w:hAnsi="Times New Roman"/>
          <w:b/>
          <w:sz w:val="24"/>
          <w:szCs w:val="24"/>
        </w:rPr>
        <w:t>Atlas, Rio Grande do Norte</w:t>
      </w:r>
      <w:r w:rsidRPr="00716054">
        <w:rPr>
          <w:rFonts w:ascii="Times New Roman" w:hAnsi="Times New Roman"/>
          <w:sz w:val="24"/>
          <w:szCs w:val="24"/>
        </w:rPr>
        <w:t xml:space="preserve">: espaço </w:t>
      </w:r>
      <w:proofErr w:type="spellStart"/>
      <w:r w:rsidRPr="00716054">
        <w:rPr>
          <w:rFonts w:ascii="Times New Roman" w:hAnsi="Times New Roman"/>
          <w:sz w:val="24"/>
          <w:szCs w:val="24"/>
        </w:rPr>
        <w:t>geo-histórico</w:t>
      </w:r>
      <w:proofErr w:type="spellEnd"/>
      <w:r w:rsidRPr="00716054">
        <w:rPr>
          <w:rFonts w:ascii="Times New Roman" w:hAnsi="Times New Roman"/>
          <w:sz w:val="24"/>
          <w:szCs w:val="24"/>
        </w:rPr>
        <w:t xml:space="preserve"> e cultural. João Pessoa: </w:t>
      </w:r>
      <w:proofErr w:type="spellStart"/>
      <w:r w:rsidRPr="00716054">
        <w:rPr>
          <w:rFonts w:ascii="Times New Roman" w:hAnsi="Times New Roman"/>
          <w:sz w:val="24"/>
          <w:szCs w:val="24"/>
        </w:rPr>
        <w:t>Grafset</w:t>
      </w:r>
      <w:proofErr w:type="spellEnd"/>
      <w:r w:rsidRPr="00716054">
        <w:rPr>
          <w:rFonts w:ascii="Times New Roman" w:hAnsi="Times New Roman"/>
          <w:sz w:val="24"/>
          <w:szCs w:val="24"/>
        </w:rPr>
        <w:t>, 2006.</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FELIPE, J. L. A.; ROCHA A. P. B.; CARVALHO, E. A. </w:t>
      </w:r>
      <w:r w:rsidRPr="00716054">
        <w:rPr>
          <w:rFonts w:ascii="Times New Roman" w:hAnsi="Times New Roman"/>
          <w:b/>
          <w:sz w:val="24"/>
          <w:szCs w:val="24"/>
        </w:rPr>
        <w:t>Economia do Rio Grande do Norte</w:t>
      </w:r>
      <w:r w:rsidRPr="00716054">
        <w:rPr>
          <w:rFonts w:ascii="Times New Roman" w:hAnsi="Times New Roman"/>
          <w:sz w:val="24"/>
          <w:szCs w:val="24"/>
        </w:rPr>
        <w:t xml:space="preserve">: estudo </w:t>
      </w:r>
      <w:proofErr w:type="spellStart"/>
      <w:r w:rsidRPr="00716054">
        <w:rPr>
          <w:rFonts w:ascii="Times New Roman" w:hAnsi="Times New Roman"/>
          <w:sz w:val="24"/>
          <w:szCs w:val="24"/>
        </w:rPr>
        <w:t>geo-histórico</w:t>
      </w:r>
      <w:proofErr w:type="spellEnd"/>
      <w:r w:rsidRPr="00716054">
        <w:rPr>
          <w:rFonts w:ascii="Times New Roman" w:hAnsi="Times New Roman"/>
          <w:sz w:val="24"/>
          <w:szCs w:val="24"/>
        </w:rPr>
        <w:t xml:space="preserve"> e econômico. 2. </w:t>
      </w:r>
      <w:proofErr w:type="gramStart"/>
      <w:r w:rsidRPr="00716054">
        <w:rPr>
          <w:rFonts w:ascii="Times New Roman" w:hAnsi="Times New Roman"/>
          <w:sz w:val="24"/>
          <w:szCs w:val="24"/>
        </w:rPr>
        <w:t>ed.</w:t>
      </w:r>
      <w:proofErr w:type="gramEnd"/>
      <w:r w:rsidRPr="00716054">
        <w:rPr>
          <w:rFonts w:ascii="Times New Roman" w:hAnsi="Times New Roman"/>
          <w:sz w:val="24"/>
          <w:szCs w:val="24"/>
        </w:rPr>
        <w:t xml:space="preserve"> João Pessoa: </w:t>
      </w:r>
      <w:proofErr w:type="spellStart"/>
      <w:r w:rsidRPr="00716054">
        <w:rPr>
          <w:rFonts w:ascii="Times New Roman" w:hAnsi="Times New Roman"/>
          <w:sz w:val="24"/>
          <w:szCs w:val="24"/>
        </w:rPr>
        <w:t>Grafset</w:t>
      </w:r>
      <w:proofErr w:type="spellEnd"/>
      <w:r w:rsidRPr="00716054">
        <w:rPr>
          <w:rFonts w:ascii="Times New Roman" w:hAnsi="Times New Roman"/>
          <w:sz w:val="24"/>
          <w:szCs w:val="24"/>
        </w:rPr>
        <w:t>, 2009.</w:t>
      </w:r>
    </w:p>
    <w:p w:rsidR="00C94BC9" w:rsidRDefault="00C94BC9" w:rsidP="00527CA7">
      <w:pPr>
        <w:tabs>
          <w:tab w:val="left" w:pos="5530"/>
        </w:tabs>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FRANÇA, J. M. F.; MORENO, J. C. Uma reflexão sobre os impactos causados pela seca no Rio Grande do Norte de 2012 a 2016. </w:t>
      </w:r>
      <w:r w:rsidRPr="00511D62">
        <w:rPr>
          <w:rFonts w:ascii="Times New Roman" w:hAnsi="Times New Roman"/>
          <w:b/>
          <w:sz w:val="24"/>
          <w:szCs w:val="24"/>
        </w:rPr>
        <w:t>Parcerias Estratégicas</w:t>
      </w:r>
      <w:r>
        <w:rPr>
          <w:rFonts w:ascii="Times New Roman" w:hAnsi="Times New Roman"/>
          <w:sz w:val="24"/>
          <w:szCs w:val="24"/>
        </w:rPr>
        <w:t xml:space="preserve">. Brasília/DF, v. 22, n. 44, </w:t>
      </w:r>
      <w:r w:rsidR="00511D62">
        <w:rPr>
          <w:rFonts w:ascii="Times New Roman" w:hAnsi="Times New Roman"/>
          <w:sz w:val="24"/>
          <w:szCs w:val="24"/>
        </w:rPr>
        <w:t>p. 213-232, jan./jun. 2017.</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lastRenderedPageBreak/>
        <w:t xml:space="preserve">FREIRE, J. A. </w:t>
      </w:r>
      <w:r w:rsidRPr="00716054">
        <w:rPr>
          <w:rFonts w:ascii="Times New Roman" w:hAnsi="Times New Roman"/>
          <w:b/>
          <w:sz w:val="24"/>
          <w:szCs w:val="24"/>
        </w:rPr>
        <w:t>O impacto da seca no PIB do RN em 2012</w:t>
      </w:r>
      <w:r w:rsidRPr="00716054">
        <w:rPr>
          <w:rFonts w:ascii="Times New Roman" w:hAnsi="Times New Roman"/>
          <w:sz w:val="24"/>
          <w:szCs w:val="24"/>
        </w:rPr>
        <w:t xml:space="preserve">: desfazendo mitos. Blog Economia do RN. Natal, 13 jun. 2012. Disponível em: &lt;http://www.economia-do-rn.blogspot.com.br/2012/06/o-impacto-da-seca-no-pib-do-rn-em-2012.html&gt;. Acesso em: </w:t>
      </w:r>
      <w:proofErr w:type="gramStart"/>
      <w:r w:rsidRPr="00716054">
        <w:rPr>
          <w:rFonts w:ascii="Times New Roman" w:hAnsi="Times New Roman"/>
          <w:sz w:val="24"/>
          <w:szCs w:val="24"/>
        </w:rPr>
        <w:t>7</w:t>
      </w:r>
      <w:proofErr w:type="gramEnd"/>
      <w:r w:rsidRPr="00716054">
        <w:rPr>
          <w:rFonts w:ascii="Times New Roman" w:hAnsi="Times New Roman"/>
          <w:sz w:val="24"/>
          <w:szCs w:val="24"/>
        </w:rPr>
        <w:t xml:space="preserve"> jul. 2012.</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______. </w:t>
      </w:r>
      <w:r w:rsidRPr="00716054">
        <w:rPr>
          <w:rFonts w:ascii="Times New Roman" w:hAnsi="Times New Roman"/>
          <w:b/>
          <w:sz w:val="24"/>
          <w:szCs w:val="24"/>
        </w:rPr>
        <w:t>Panorama da agropecuária potiguar</w:t>
      </w:r>
      <w:r w:rsidRPr="00716054">
        <w:rPr>
          <w:rFonts w:ascii="Times New Roman" w:hAnsi="Times New Roman"/>
          <w:sz w:val="24"/>
          <w:szCs w:val="24"/>
        </w:rPr>
        <w:t>. Natal: IBGE, 2017. 19p. (Apresentação PowerPoint).</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HESPANHOL, A. N. Apropriação de recursos naturais pela fruticultura irrigada no semiárido do Rio Grande do Norte – Brasil. </w:t>
      </w:r>
      <w:r w:rsidRPr="00716054">
        <w:rPr>
          <w:rFonts w:ascii="Times New Roman" w:hAnsi="Times New Roman"/>
          <w:b/>
          <w:sz w:val="24"/>
          <w:szCs w:val="24"/>
        </w:rPr>
        <w:t>Revista Ciência &amp; Trópico</w:t>
      </w:r>
      <w:r w:rsidRPr="00716054">
        <w:rPr>
          <w:rFonts w:ascii="Times New Roman" w:hAnsi="Times New Roman"/>
          <w:sz w:val="24"/>
          <w:szCs w:val="24"/>
        </w:rPr>
        <w:t>. Recife, v. 41, n. 1, p. 103-118, 2017.</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IBGE/SIDRA. </w:t>
      </w:r>
      <w:r w:rsidRPr="00716054">
        <w:rPr>
          <w:rFonts w:ascii="Times New Roman" w:hAnsi="Times New Roman"/>
          <w:b/>
          <w:sz w:val="24"/>
          <w:szCs w:val="24"/>
        </w:rPr>
        <w:t>Censo Agropecuário 2006</w:t>
      </w:r>
      <w:r w:rsidRPr="00716054">
        <w:rPr>
          <w:rFonts w:ascii="Times New Roman" w:hAnsi="Times New Roman"/>
          <w:sz w:val="24"/>
          <w:szCs w:val="24"/>
        </w:rPr>
        <w:t xml:space="preserve">: Brasil, grandes regiões e unidades da federação – segunda apuração. Rio de Janeiro: MPOG/IBGE, 2012. Disponível em: &lt;http://www2.sidra.ibge.gov.br/bda/tabela/listabl.asp?c=263&amp;z=t&amp;o=11&gt;. Acesso em: </w:t>
      </w:r>
      <w:proofErr w:type="gramStart"/>
      <w:r w:rsidRPr="00716054">
        <w:rPr>
          <w:rFonts w:ascii="Times New Roman" w:hAnsi="Times New Roman"/>
          <w:sz w:val="24"/>
          <w:szCs w:val="24"/>
        </w:rPr>
        <w:t>28 maio 2017</w:t>
      </w:r>
      <w:proofErr w:type="gramEnd"/>
      <w:r w:rsidRPr="00716054">
        <w:rPr>
          <w:rFonts w:ascii="Times New Roman" w:hAnsi="Times New Roman"/>
          <w:sz w:val="24"/>
          <w:szCs w:val="24"/>
        </w:rPr>
        <w:t xml:space="preserve">. </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KHAN, A. S.; CAMPOS, R. T. Efeitos das secas no setor agrícola do Nordeste. In: MAIA GOMES, G.; SOUZA, H. R.; MAGALHÃES, A. R. (</w:t>
      </w:r>
      <w:proofErr w:type="spellStart"/>
      <w:r w:rsidRPr="00716054">
        <w:rPr>
          <w:rFonts w:ascii="Times New Roman" w:hAnsi="Times New Roman"/>
          <w:sz w:val="24"/>
          <w:szCs w:val="24"/>
        </w:rPr>
        <w:t>Orgs</w:t>
      </w:r>
      <w:proofErr w:type="spellEnd"/>
      <w:r w:rsidRPr="00716054">
        <w:rPr>
          <w:rFonts w:ascii="Times New Roman" w:hAnsi="Times New Roman"/>
          <w:sz w:val="24"/>
          <w:szCs w:val="24"/>
        </w:rPr>
        <w:t xml:space="preserve">.). </w:t>
      </w:r>
      <w:r w:rsidRPr="00716054">
        <w:rPr>
          <w:rFonts w:ascii="Times New Roman" w:hAnsi="Times New Roman"/>
          <w:b/>
          <w:sz w:val="24"/>
          <w:szCs w:val="24"/>
        </w:rPr>
        <w:t>Desenvolvimento sustentável no Nordeste</w:t>
      </w:r>
      <w:r w:rsidRPr="00716054">
        <w:rPr>
          <w:rFonts w:ascii="Times New Roman" w:hAnsi="Times New Roman"/>
          <w:sz w:val="24"/>
          <w:szCs w:val="24"/>
        </w:rPr>
        <w:t xml:space="preserve">. Brasília, IPEA, 1995. </w:t>
      </w:r>
      <w:proofErr w:type="gramStart"/>
      <w:r w:rsidRPr="00716054">
        <w:rPr>
          <w:rFonts w:ascii="Times New Roman" w:hAnsi="Times New Roman"/>
          <w:sz w:val="24"/>
          <w:szCs w:val="24"/>
        </w:rPr>
        <w:t>p.</w:t>
      </w:r>
      <w:proofErr w:type="gramEnd"/>
      <w:r w:rsidRPr="00716054">
        <w:rPr>
          <w:rFonts w:ascii="Times New Roman" w:hAnsi="Times New Roman"/>
          <w:sz w:val="24"/>
          <w:szCs w:val="24"/>
        </w:rPr>
        <w:t>175-194.</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LIRA, I. Alimentos: percurso extenso e caro até o RN. </w:t>
      </w:r>
      <w:r w:rsidRPr="00716054">
        <w:rPr>
          <w:rFonts w:ascii="Times New Roman" w:hAnsi="Times New Roman"/>
          <w:b/>
          <w:sz w:val="24"/>
          <w:szCs w:val="24"/>
        </w:rPr>
        <w:t>Tribuna do Norte</w:t>
      </w:r>
      <w:r w:rsidRPr="00716054">
        <w:rPr>
          <w:rFonts w:ascii="Times New Roman" w:hAnsi="Times New Roman"/>
          <w:sz w:val="24"/>
          <w:szCs w:val="24"/>
        </w:rPr>
        <w:t xml:space="preserve">. Natal/RN, 22 out. 2009. Disponível em: &lt;http://www.tribunadonorte.com.br/noticia/alimentos-percurso-extenso-e-caro-ate-o-rn/129010&gt;. Acesso em: </w:t>
      </w:r>
      <w:proofErr w:type="gramStart"/>
      <w:r w:rsidRPr="00716054">
        <w:rPr>
          <w:rFonts w:ascii="Times New Roman" w:hAnsi="Times New Roman"/>
          <w:sz w:val="24"/>
          <w:szCs w:val="24"/>
        </w:rPr>
        <w:t>15 maio 2017</w:t>
      </w:r>
      <w:proofErr w:type="gramEnd"/>
      <w:r w:rsidRPr="00716054">
        <w:rPr>
          <w:rFonts w:ascii="Times New Roman" w:hAnsi="Times New Roman"/>
          <w:sz w:val="24"/>
          <w:szCs w:val="24"/>
        </w:rPr>
        <w:t>.</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MAIA GOMES, G. </w:t>
      </w:r>
      <w:r w:rsidRPr="00716054">
        <w:rPr>
          <w:rFonts w:ascii="Times New Roman" w:hAnsi="Times New Roman"/>
          <w:b/>
          <w:sz w:val="24"/>
          <w:szCs w:val="24"/>
        </w:rPr>
        <w:t>Velhas secas em novos sertões</w:t>
      </w:r>
      <w:r w:rsidRPr="00716054">
        <w:rPr>
          <w:rFonts w:ascii="Times New Roman" w:hAnsi="Times New Roman"/>
          <w:sz w:val="24"/>
          <w:szCs w:val="24"/>
        </w:rPr>
        <w:t>: continuidade e mudanças na economia do Semiárido e dos Cerrados nordestinos. Brasília: IPEA, 2001.</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MEND</w:t>
      </w:r>
      <w:r w:rsidR="003054C8">
        <w:rPr>
          <w:rFonts w:ascii="Times New Roman" w:hAnsi="Times New Roman"/>
          <w:sz w:val="24"/>
          <w:szCs w:val="24"/>
        </w:rPr>
        <w:t>ES, A.; ARAÚJO, R. Programa do L</w:t>
      </w:r>
      <w:r w:rsidRPr="00716054">
        <w:rPr>
          <w:rFonts w:ascii="Times New Roman" w:hAnsi="Times New Roman"/>
          <w:sz w:val="24"/>
          <w:szCs w:val="24"/>
        </w:rPr>
        <w:t xml:space="preserve">eite encolhe e abre lacunas no RN. </w:t>
      </w:r>
      <w:r w:rsidRPr="00716054">
        <w:rPr>
          <w:rFonts w:ascii="Times New Roman" w:hAnsi="Times New Roman"/>
          <w:b/>
          <w:sz w:val="24"/>
          <w:szCs w:val="24"/>
        </w:rPr>
        <w:t>Tribuna do Norte</w:t>
      </w:r>
      <w:r w:rsidRPr="00716054">
        <w:rPr>
          <w:rFonts w:ascii="Times New Roman" w:hAnsi="Times New Roman"/>
          <w:sz w:val="24"/>
          <w:szCs w:val="24"/>
        </w:rPr>
        <w:t>. Natal/RN, p. 1-8, 01 jul. 2012. (Caderno Economia).</w:t>
      </w:r>
    </w:p>
    <w:p w:rsidR="00CC306B"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NEVES, J. A. </w:t>
      </w:r>
      <w:proofErr w:type="gramStart"/>
      <w:r w:rsidRPr="00716054">
        <w:rPr>
          <w:rFonts w:ascii="Times New Roman" w:hAnsi="Times New Roman"/>
          <w:sz w:val="24"/>
          <w:szCs w:val="24"/>
        </w:rPr>
        <w:t>et</w:t>
      </w:r>
      <w:proofErr w:type="gramEnd"/>
      <w:r w:rsidRPr="00716054">
        <w:rPr>
          <w:rFonts w:ascii="Times New Roman" w:hAnsi="Times New Roman"/>
          <w:sz w:val="24"/>
          <w:szCs w:val="24"/>
        </w:rPr>
        <w:t xml:space="preserve"> al. </w:t>
      </w:r>
      <w:r w:rsidRPr="00716054">
        <w:rPr>
          <w:rFonts w:ascii="Times New Roman" w:hAnsi="Times New Roman"/>
          <w:b/>
          <w:sz w:val="24"/>
          <w:szCs w:val="24"/>
        </w:rPr>
        <w:t>Análise pluviométrica do Rio Grande do Norte</w:t>
      </w:r>
      <w:r w:rsidRPr="00716054">
        <w:rPr>
          <w:rFonts w:ascii="Times New Roman" w:hAnsi="Times New Roman"/>
          <w:sz w:val="24"/>
          <w:szCs w:val="24"/>
        </w:rPr>
        <w:t>: Período: 1963-2009. Natal: EMPARN, 2010.</w:t>
      </w:r>
    </w:p>
    <w:p w:rsidR="00CC306B" w:rsidRDefault="00D21B4B" w:rsidP="00527CA7">
      <w:pPr>
        <w:tabs>
          <w:tab w:val="left" w:pos="5530"/>
        </w:tabs>
        <w:autoSpaceDE w:val="0"/>
        <w:autoSpaceDN w:val="0"/>
        <w:adjustRightInd w:val="0"/>
        <w:spacing w:after="120" w:line="240" w:lineRule="auto"/>
        <w:jc w:val="both"/>
        <w:rPr>
          <w:rFonts w:ascii="Times New Roman" w:hAnsi="Times New Roman"/>
          <w:sz w:val="24"/>
          <w:szCs w:val="24"/>
        </w:rPr>
      </w:pPr>
      <w:r w:rsidRPr="00D21B4B">
        <w:rPr>
          <w:rFonts w:ascii="Times New Roman" w:hAnsi="Times New Roman"/>
          <w:sz w:val="24"/>
          <w:szCs w:val="24"/>
        </w:rPr>
        <w:t>NYS, E</w:t>
      </w:r>
      <w:proofErr w:type="gramStart"/>
      <w:r w:rsidR="003054C8">
        <w:rPr>
          <w:rFonts w:ascii="Times New Roman" w:hAnsi="Times New Roman"/>
          <w:sz w:val="24"/>
          <w:szCs w:val="24"/>
        </w:rPr>
        <w:t>.</w:t>
      </w:r>
      <w:r w:rsidRPr="00D21B4B">
        <w:rPr>
          <w:rFonts w:ascii="Times New Roman" w:hAnsi="Times New Roman"/>
          <w:sz w:val="24"/>
          <w:szCs w:val="24"/>
        </w:rPr>
        <w:t>;</w:t>
      </w:r>
      <w:proofErr w:type="gramEnd"/>
      <w:r w:rsidRPr="00D21B4B">
        <w:rPr>
          <w:rFonts w:ascii="Times New Roman" w:hAnsi="Times New Roman"/>
          <w:sz w:val="24"/>
          <w:szCs w:val="24"/>
        </w:rPr>
        <w:t xml:space="preserve"> ENGLE, N. L.; MAGALHÃES, A. R. </w:t>
      </w:r>
      <w:r w:rsidRPr="00D21B4B">
        <w:rPr>
          <w:rFonts w:ascii="Times New Roman" w:hAnsi="Times New Roman"/>
          <w:b/>
          <w:sz w:val="24"/>
          <w:szCs w:val="24"/>
        </w:rPr>
        <w:t>Secas no Brasil</w:t>
      </w:r>
      <w:r w:rsidRPr="00D21B4B">
        <w:rPr>
          <w:rFonts w:ascii="Times New Roman" w:hAnsi="Times New Roman"/>
          <w:sz w:val="24"/>
          <w:szCs w:val="24"/>
        </w:rPr>
        <w:t>: política e gestão proativas. Brasília: CGEE/Banco Mundial, 2016.</w:t>
      </w:r>
    </w:p>
    <w:p w:rsidR="00CC306B" w:rsidRPr="00716054"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OLIVEIRA, R. P. </w:t>
      </w:r>
      <w:r w:rsidRPr="00716054">
        <w:rPr>
          <w:rFonts w:ascii="Times New Roman" w:hAnsi="Times New Roman"/>
          <w:b/>
          <w:sz w:val="24"/>
          <w:szCs w:val="24"/>
        </w:rPr>
        <w:t>Transferências governamentais e previdência social rural nas microrregiões do Rio Grande do Norte</w:t>
      </w:r>
      <w:r w:rsidRPr="00716054">
        <w:rPr>
          <w:rFonts w:ascii="Times New Roman" w:hAnsi="Times New Roman"/>
          <w:sz w:val="24"/>
          <w:szCs w:val="24"/>
        </w:rPr>
        <w:t>. 2017. 149f. Dissertação (Mestrado em Estudos Urbanos e Regionais) - Universidade Federal do Rio Grande do Norte, Natal/RN, 2017.</w:t>
      </w:r>
    </w:p>
    <w:p w:rsidR="00CC306B" w:rsidRPr="00716054" w:rsidRDefault="00CC306B" w:rsidP="00527CA7">
      <w:pPr>
        <w:spacing w:after="120" w:line="240" w:lineRule="auto"/>
        <w:jc w:val="both"/>
        <w:rPr>
          <w:rFonts w:ascii="Times New Roman" w:hAnsi="Times New Roman"/>
          <w:iCs/>
          <w:sz w:val="24"/>
          <w:szCs w:val="24"/>
        </w:rPr>
      </w:pPr>
      <w:r w:rsidRPr="00716054">
        <w:rPr>
          <w:rFonts w:ascii="Times New Roman" w:hAnsi="Times New Roman"/>
          <w:iCs/>
          <w:sz w:val="24"/>
          <w:szCs w:val="24"/>
        </w:rPr>
        <w:t xml:space="preserve">PAM/IBGE/SIDRA. </w:t>
      </w:r>
      <w:r w:rsidRPr="00716054">
        <w:rPr>
          <w:rFonts w:ascii="Times New Roman" w:hAnsi="Times New Roman"/>
          <w:b/>
          <w:iCs/>
          <w:sz w:val="24"/>
          <w:szCs w:val="24"/>
        </w:rPr>
        <w:t>Pesquisa Agrícola Municipal.</w:t>
      </w:r>
      <w:r w:rsidRPr="00716054">
        <w:rPr>
          <w:rFonts w:ascii="Times New Roman" w:hAnsi="Times New Roman"/>
          <w:iCs/>
          <w:sz w:val="24"/>
          <w:szCs w:val="24"/>
        </w:rPr>
        <w:t xml:space="preserve"> Rio de Janeiro: IBGE, 2017. Disponível em: &lt;http://www2.sidra.ibge.gov.br/bda/tabela/listabl.asp?z=t&amp;c=1612&gt;. Acesso em: 21 set. 2017.</w:t>
      </w:r>
    </w:p>
    <w:p w:rsidR="00CC306B" w:rsidRPr="00716054" w:rsidRDefault="00CC306B" w:rsidP="00527CA7">
      <w:pPr>
        <w:spacing w:after="120" w:line="240" w:lineRule="auto"/>
        <w:jc w:val="both"/>
        <w:rPr>
          <w:rFonts w:ascii="Times New Roman" w:hAnsi="Times New Roman"/>
          <w:iCs/>
          <w:sz w:val="24"/>
          <w:szCs w:val="24"/>
        </w:rPr>
      </w:pPr>
      <w:r w:rsidRPr="00716054">
        <w:rPr>
          <w:rFonts w:ascii="Times New Roman" w:hAnsi="Times New Roman"/>
          <w:iCs/>
          <w:sz w:val="24"/>
          <w:szCs w:val="24"/>
        </w:rPr>
        <w:t xml:space="preserve">PPM/IBGE/SIDRA. </w:t>
      </w:r>
      <w:r w:rsidRPr="00716054">
        <w:rPr>
          <w:rFonts w:ascii="Times New Roman" w:hAnsi="Times New Roman"/>
          <w:b/>
          <w:iCs/>
          <w:sz w:val="24"/>
          <w:szCs w:val="24"/>
        </w:rPr>
        <w:t xml:space="preserve">Pesquisa Pecuária Municipal. </w:t>
      </w:r>
      <w:r w:rsidRPr="00716054">
        <w:rPr>
          <w:rFonts w:ascii="Times New Roman" w:hAnsi="Times New Roman"/>
          <w:iCs/>
          <w:sz w:val="24"/>
          <w:szCs w:val="24"/>
        </w:rPr>
        <w:t>Rio de Janeiro: IBGE, 2017. Disponível em: &lt;http://www2.sidra.ibge.gov.br/bda/tabela/listabl.asp?z=t&amp;c=3939&gt;. Acesso em: 28 set. 2017.</w:t>
      </w:r>
    </w:p>
    <w:p w:rsidR="00CC306B" w:rsidRPr="00716054" w:rsidRDefault="00CC306B" w:rsidP="00527CA7">
      <w:pPr>
        <w:spacing w:after="120" w:line="240" w:lineRule="auto"/>
        <w:jc w:val="both"/>
        <w:rPr>
          <w:rFonts w:ascii="Times New Roman" w:hAnsi="Times New Roman"/>
          <w:sz w:val="24"/>
          <w:szCs w:val="24"/>
        </w:rPr>
      </w:pPr>
      <w:r w:rsidRPr="00716054">
        <w:rPr>
          <w:rFonts w:ascii="Times New Roman" w:hAnsi="Times New Roman"/>
          <w:sz w:val="24"/>
          <w:szCs w:val="24"/>
        </w:rPr>
        <w:t xml:space="preserve">SEMARH. </w:t>
      </w:r>
      <w:r w:rsidRPr="00716054">
        <w:rPr>
          <w:rFonts w:ascii="Times New Roman" w:hAnsi="Times New Roman"/>
          <w:b/>
          <w:sz w:val="24"/>
          <w:szCs w:val="24"/>
        </w:rPr>
        <w:t>Situação volumétrica dos reservatórios de água do Rio Grande do Norte</w:t>
      </w:r>
      <w:r w:rsidRPr="00716054">
        <w:rPr>
          <w:rFonts w:ascii="Times New Roman" w:hAnsi="Times New Roman"/>
          <w:sz w:val="24"/>
          <w:szCs w:val="24"/>
        </w:rPr>
        <w:t xml:space="preserve">. Natal/RN, 2016. Disponível em: &lt;http://sistemas.searh.rn.gov.br/monitoramentovolumetrico&gt;. Acesso em: 30 dez. 2016. </w:t>
      </w:r>
    </w:p>
    <w:p w:rsidR="00F83299" w:rsidRPr="00F83299" w:rsidRDefault="00CC306B" w:rsidP="00527CA7">
      <w:pPr>
        <w:tabs>
          <w:tab w:val="left" w:pos="5530"/>
        </w:tabs>
        <w:autoSpaceDE w:val="0"/>
        <w:autoSpaceDN w:val="0"/>
        <w:adjustRightInd w:val="0"/>
        <w:spacing w:after="120" w:line="240" w:lineRule="auto"/>
        <w:jc w:val="both"/>
        <w:rPr>
          <w:rFonts w:ascii="Times New Roman" w:hAnsi="Times New Roman"/>
          <w:sz w:val="24"/>
          <w:szCs w:val="24"/>
        </w:rPr>
      </w:pPr>
      <w:r w:rsidRPr="00716054">
        <w:rPr>
          <w:rFonts w:ascii="Times New Roman" w:hAnsi="Times New Roman"/>
          <w:sz w:val="24"/>
          <w:szCs w:val="24"/>
        </w:rPr>
        <w:t xml:space="preserve">VIDAL, M. F. Efeitos da seca de 2012 sobre a apicultura nordestina. </w:t>
      </w:r>
      <w:r w:rsidRPr="00716054">
        <w:rPr>
          <w:rFonts w:ascii="Times New Roman" w:hAnsi="Times New Roman"/>
          <w:b/>
          <w:sz w:val="24"/>
          <w:szCs w:val="24"/>
        </w:rPr>
        <w:t xml:space="preserve">Informe rural </w:t>
      </w:r>
      <w:r w:rsidR="003054C8" w:rsidRPr="00716054">
        <w:rPr>
          <w:rFonts w:ascii="Times New Roman" w:hAnsi="Times New Roman"/>
          <w:b/>
          <w:sz w:val="24"/>
          <w:szCs w:val="24"/>
        </w:rPr>
        <w:t>ETENE</w:t>
      </w:r>
      <w:r w:rsidRPr="00716054">
        <w:rPr>
          <w:rFonts w:ascii="Times New Roman" w:hAnsi="Times New Roman"/>
          <w:sz w:val="24"/>
          <w:szCs w:val="24"/>
        </w:rPr>
        <w:t xml:space="preserve">. BNB: Fortaleza, ano </w:t>
      </w:r>
      <w:proofErr w:type="gramStart"/>
      <w:r w:rsidRPr="00716054">
        <w:rPr>
          <w:rFonts w:ascii="Times New Roman" w:hAnsi="Times New Roman"/>
          <w:sz w:val="24"/>
          <w:szCs w:val="24"/>
        </w:rPr>
        <w:t>7</w:t>
      </w:r>
      <w:proofErr w:type="gramEnd"/>
      <w:r w:rsidRPr="00716054">
        <w:rPr>
          <w:rFonts w:ascii="Times New Roman" w:hAnsi="Times New Roman"/>
          <w:sz w:val="24"/>
          <w:szCs w:val="24"/>
        </w:rPr>
        <w:t>, n. 2, p 1-5, 2013.</w:t>
      </w:r>
    </w:p>
    <w:sectPr w:rsidR="00F83299" w:rsidRPr="00F83299" w:rsidSect="005068B2">
      <w:pgSz w:w="11906" w:h="16838" w:code="9"/>
      <w:pgMar w:top="1701" w:right="1134" w:bottom="1134" w:left="170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5D7" w:rsidRDefault="007275D7" w:rsidP="00A37738">
      <w:pPr>
        <w:spacing w:after="0" w:line="240" w:lineRule="auto"/>
      </w:pPr>
      <w:r>
        <w:separator/>
      </w:r>
    </w:p>
  </w:endnote>
  <w:endnote w:type="continuationSeparator" w:id="0">
    <w:p w:rsidR="007275D7" w:rsidRDefault="007275D7" w:rsidP="00A37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5D7" w:rsidRDefault="007275D7" w:rsidP="00A37738">
      <w:pPr>
        <w:spacing w:after="0" w:line="240" w:lineRule="auto"/>
      </w:pPr>
      <w:r>
        <w:separator/>
      </w:r>
    </w:p>
  </w:footnote>
  <w:footnote w:type="continuationSeparator" w:id="0">
    <w:p w:rsidR="007275D7" w:rsidRDefault="007275D7" w:rsidP="00A37738">
      <w:pPr>
        <w:spacing w:after="0" w:line="240" w:lineRule="auto"/>
      </w:pPr>
      <w:r>
        <w:continuationSeparator/>
      </w:r>
    </w:p>
  </w:footnote>
  <w:footnote w:id="1">
    <w:p w:rsidR="00131E57" w:rsidRPr="00CE1C61" w:rsidRDefault="00131E57" w:rsidP="00CC306B">
      <w:pPr>
        <w:pStyle w:val="Textodenotaderodap"/>
        <w:jc w:val="both"/>
        <w:rPr>
          <w:rFonts w:ascii="Times New Roman" w:hAnsi="Times New Roman"/>
        </w:rPr>
      </w:pPr>
      <w:r w:rsidRPr="00CE1C61">
        <w:rPr>
          <w:rStyle w:val="Refdenotaderodap"/>
          <w:rFonts w:ascii="Times New Roman" w:hAnsi="Times New Roman"/>
        </w:rPr>
        <w:footnoteRef/>
      </w:r>
      <w:r w:rsidRPr="00CE1C61">
        <w:rPr>
          <w:rFonts w:ascii="Times New Roman" w:hAnsi="Times New Roman"/>
        </w:rPr>
        <w:t xml:space="preserve"> O Programa do Leite é uma política governamental de fomento à cadeia produtiva leiteira potiguar, implantada no RN na década de 1990, com o objetivo de garantir renda para parte dos pecuaristas que fornecem o produto para o governo, lhes dando condições mínimas de arcar com as despesas financeiras de manutenção do gado leiteiro, e, com isso, continuar o abastecimento do leite. A produção adquirida, por sua vez, é distribuída para as famílias dos segmentos sociais mais pobres do referido estado, como forma de reduzir as deficiências nutricionais dos grupos populacionais mais carentes, especialmente entre deficientes, crianças e idosos (MENDES; ARAÚJO, 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01A2D"/>
    <w:multiLevelType w:val="hybridMultilevel"/>
    <w:tmpl w:val="C50610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41FB0651"/>
    <w:multiLevelType w:val="hybridMultilevel"/>
    <w:tmpl w:val="6F5A38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738"/>
    <w:rsid w:val="00001ECF"/>
    <w:rsid w:val="00017C89"/>
    <w:rsid w:val="00054743"/>
    <w:rsid w:val="00075342"/>
    <w:rsid w:val="00094B25"/>
    <w:rsid w:val="0012049E"/>
    <w:rsid w:val="00131E57"/>
    <w:rsid w:val="001D39A6"/>
    <w:rsid w:val="001D6BB5"/>
    <w:rsid w:val="0020665C"/>
    <w:rsid w:val="00215DDB"/>
    <w:rsid w:val="002342FB"/>
    <w:rsid w:val="0025676F"/>
    <w:rsid w:val="002656C6"/>
    <w:rsid w:val="0027796D"/>
    <w:rsid w:val="00287EED"/>
    <w:rsid w:val="002D176D"/>
    <w:rsid w:val="003054C8"/>
    <w:rsid w:val="003469C7"/>
    <w:rsid w:val="00362511"/>
    <w:rsid w:val="003754B9"/>
    <w:rsid w:val="003855E1"/>
    <w:rsid w:val="003C454D"/>
    <w:rsid w:val="00410179"/>
    <w:rsid w:val="004313E0"/>
    <w:rsid w:val="004349A5"/>
    <w:rsid w:val="00482CBF"/>
    <w:rsid w:val="004C1B99"/>
    <w:rsid w:val="004E043C"/>
    <w:rsid w:val="005068B2"/>
    <w:rsid w:val="00511D62"/>
    <w:rsid w:val="00512DAD"/>
    <w:rsid w:val="00527CA7"/>
    <w:rsid w:val="00541BB5"/>
    <w:rsid w:val="00572C40"/>
    <w:rsid w:val="005D4B14"/>
    <w:rsid w:val="005D5067"/>
    <w:rsid w:val="005F0E2A"/>
    <w:rsid w:val="00616F26"/>
    <w:rsid w:val="00631633"/>
    <w:rsid w:val="00660EDA"/>
    <w:rsid w:val="00691506"/>
    <w:rsid w:val="006B79D3"/>
    <w:rsid w:val="006C134C"/>
    <w:rsid w:val="007275D7"/>
    <w:rsid w:val="00777952"/>
    <w:rsid w:val="007953B1"/>
    <w:rsid w:val="007A5524"/>
    <w:rsid w:val="007C2F75"/>
    <w:rsid w:val="007C5C58"/>
    <w:rsid w:val="007F5D59"/>
    <w:rsid w:val="00820540"/>
    <w:rsid w:val="008313BF"/>
    <w:rsid w:val="00832CF7"/>
    <w:rsid w:val="008654D3"/>
    <w:rsid w:val="00890C92"/>
    <w:rsid w:val="008E68E5"/>
    <w:rsid w:val="00927A64"/>
    <w:rsid w:val="00950FEC"/>
    <w:rsid w:val="00970ACC"/>
    <w:rsid w:val="009E6A2E"/>
    <w:rsid w:val="009F3B7F"/>
    <w:rsid w:val="00A37738"/>
    <w:rsid w:val="00A57FE1"/>
    <w:rsid w:val="00A60698"/>
    <w:rsid w:val="00A66C40"/>
    <w:rsid w:val="00A7254E"/>
    <w:rsid w:val="00AA25F9"/>
    <w:rsid w:val="00AB7647"/>
    <w:rsid w:val="00AF4C6A"/>
    <w:rsid w:val="00B3585E"/>
    <w:rsid w:val="00B61AD6"/>
    <w:rsid w:val="00B74484"/>
    <w:rsid w:val="00B842F2"/>
    <w:rsid w:val="00C079FF"/>
    <w:rsid w:val="00C33927"/>
    <w:rsid w:val="00C5668D"/>
    <w:rsid w:val="00C94BC9"/>
    <w:rsid w:val="00CC306B"/>
    <w:rsid w:val="00D17ED6"/>
    <w:rsid w:val="00D21B4B"/>
    <w:rsid w:val="00DA27F4"/>
    <w:rsid w:val="00DB6F37"/>
    <w:rsid w:val="00DF08A6"/>
    <w:rsid w:val="00DF1514"/>
    <w:rsid w:val="00E35203"/>
    <w:rsid w:val="00E51BDC"/>
    <w:rsid w:val="00E649D9"/>
    <w:rsid w:val="00EB5242"/>
    <w:rsid w:val="00EF757D"/>
    <w:rsid w:val="00F22977"/>
    <w:rsid w:val="00F26A84"/>
    <w:rsid w:val="00F83299"/>
    <w:rsid w:val="00FD25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F83299"/>
    <w:pPr>
      <w:keepNext/>
      <w:spacing w:after="0" w:line="240" w:lineRule="auto"/>
      <w:outlineLvl w:val="0"/>
    </w:pPr>
    <w:rPr>
      <w:rFonts w:ascii="Times New Roman" w:eastAsia="Times New Roman" w:hAnsi="Times New Roman"/>
      <w:b/>
      <w:caps/>
      <w:kern w:val="28"/>
      <w:sz w:val="24"/>
      <w:szCs w:val="20"/>
      <w:lang w:eastAsia="pt-BR"/>
    </w:rPr>
  </w:style>
  <w:style w:type="paragraph" w:styleId="Ttulo2">
    <w:name w:val="heading 2"/>
    <w:basedOn w:val="Normal"/>
    <w:next w:val="Normal"/>
    <w:link w:val="Ttulo2Char"/>
    <w:uiPriority w:val="9"/>
    <w:unhideWhenUsed/>
    <w:qFormat/>
    <w:rsid w:val="00CC306B"/>
    <w:pPr>
      <w:keepNext/>
      <w:keepLines/>
      <w:spacing w:before="200" w:after="0"/>
      <w:outlineLvl w:val="1"/>
    </w:pPr>
    <w:rPr>
      <w:rFonts w:asciiTheme="majorHAnsi" w:eastAsiaTheme="majorEastAsia" w:hAnsiTheme="majorHAnsi" w:cstheme="majorBidi"/>
      <w:b/>
      <w:bCs/>
      <w:color w:val="4F81BD" w:themeColor="accent1"/>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F83299"/>
    <w:rPr>
      <w:rFonts w:ascii="Times New Roman" w:eastAsia="Times New Roman" w:hAnsi="Times New Roman"/>
      <w:b/>
      <w:caps/>
      <w:kern w:val="28"/>
      <w:sz w:val="24"/>
    </w:rPr>
  </w:style>
  <w:style w:type="character" w:customStyle="1" w:styleId="Ttulo2Char">
    <w:name w:val="Título 2 Char"/>
    <w:basedOn w:val="Fontepargpadro"/>
    <w:link w:val="Ttulo2"/>
    <w:uiPriority w:val="9"/>
    <w:rsid w:val="00CC306B"/>
    <w:rPr>
      <w:rFonts w:asciiTheme="majorHAnsi" w:eastAsiaTheme="majorEastAsia" w:hAnsiTheme="majorHAnsi" w:cstheme="majorBidi"/>
      <w:b/>
      <w:bCs/>
      <w:color w:val="4F81BD" w:themeColor="accent1"/>
      <w:sz w:val="26"/>
      <w:szCs w:val="26"/>
    </w:rPr>
  </w:style>
  <w:style w:type="paragraph" w:styleId="Cabealho">
    <w:name w:val="header"/>
    <w:basedOn w:val="Normal"/>
    <w:link w:val="CabealhoChar"/>
    <w:uiPriority w:val="99"/>
    <w:unhideWhenUsed/>
    <w:rsid w:val="00A377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7738"/>
  </w:style>
  <w:style w:type="paragraph" w:styleId="Rodap">
    <w:name w:val="footer"/>
    <w:basedOn w:val="Normal"/>
    <w:link w:val="RodapChar"/>
    <w:uiPriority w:val="99"/>
    <w:unhideWhenUsed/>
    <w:rsid w:val="00A37738"/>
    <w:pPr>
      <w:tabs>
        <w:tab w:val="center" w:pos="4252"/>
        <w:tab w:val="right" w:pos="8504"/>
      </w:tabs>
      <w:spacing w:after="0" w:line="240" w:lineRule="auto"/>
    </w:pPr>
  </w:style>
  <w:style w:type="character" w:customStyle="1" w:styleId="RodapChar">
    <w:name w:val="Rodapé Char"/>
    <w:basedOn w:val="Fontepargpadro"/>
    <w:link w:val="Rodap"/>
    <w:uiPriority w:val="99"/>
    <w:rsid w:val="00A37738"/>
  </w:style>
  <w:style w:type="paragraph" w:styleId="Textodebalo">
    <w:name w:val="Balloon Text"/>
    <w:basedOn w:val="Normal"/>
    <w:link w:val="TextodebaloChar"/>
    <w:uiPriority w:val="99"/>
    <w:semiHidden/>
    <w:unhideWhenUsed/>
    <w:rsid w:val="00A3773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37738"/>
    <w:rPr>
      <w:rFonts w:ascii="Tahoma" w:hAnsi="Tahoma" w:cs="Tahoma"/>
      <w:sz w:val="16"/>
      <w:szCs w:val="16"/>
    </w:rPr>
  </w:style>
  <w:style w:type="paragraph" w:styleId="Corpodetexto3">
    <w:name w:val="Body Text 3"/>
    <w:basedOn w:val="Normal"/>
    <w:link w:val="Corpodetexto3Char"/>
    <w:rsid w:val="00F83299"/>
    <w:pPr>
      <w:spacing w:after="0" w:line="240" w:lineRule="auto"/>
      <w:jc w:val="center"/>
    </w:pPr>
    <w:rPr>
      <w:rFonts w:ascii="Times New Roman" w:eastAsia="Times New Roman" w:hAnsi="Times New Roman"/>
      <w:b/>
      <w:sz w:val="28"/>
      <w:szCs w:val="24"/>
      <w:lang w:eastAsia="pt-BR"/>
    </w:rPr>
  </w:style>
  <w:style w:type="character" w:customStyle="1" w:styleId="Corpodetexto3Char">
    <w:name w:val="Corpo de texto 3 Char"/>
    <w:link w:val="Corpodetexto3"/>
    <w:rsid w:val="00F83299"/>
    <w:rPr>
      <w:rFonts w:ascii="Times New Roman" w:eastAsia="Times New Roman" w:hAnsi="Times New Roman"/>
      <w:b/>
      <w:sz w:val="28"/>
      <w:szCs w:val="24"/>
    </w:rPr>
  </w:style>
  <w:style w:type="paragraph" w:styleId="Ttulo">
    <w:name w:val="Title"/>
    <w:basedOn w:val="Normal"/>
    <w:link w:val="TtuloChar"/>
    <w:qFormat/>
    <w:rsid w:val="00F83299"/>
    <w:pPr>
      <w:spacing w:after="0" w:line="240" w:lineRule="auto"/>
      <w:jc w:val="center"/>
    </w:pPr>
    <w:rPr>
      <w:rFonts w:ascii="Arial" w:eastAsia="Times New Roman" w:hAnsi="Arial"/>
      <w:b/>
      <w:sz w:val="28"/>
      <w:szCs w:val="24"/>
      <w:lang w:val="en-GB" w:eastAsia="pt-BR"/>
    </w:rPr>
  </w:style>
  <w:style w:type="character" w:customStyle="1" w:styleId="TtuloChar">
    <w:name w:val="Título Char"/>
    <w:link w:val="Ttulo"/>
    <w:rsid w:val="00F83299"/>
    <w:rPr>
      <w:rFonts w:ascii="Arial" w:eastAsia="Times New Roman" w:hAnsi="Arial"/>
      <w:b/>
      <w:sz w:val="28"/>
      <w:szCs w:val="24"/>
      <w:lang w:val="en-GB"/>
    </w:rPr>
  </w:style>
  <w:style w:type="paragraph" w:styleId="Corpodetexto">
    <w:name w:val="Body Text"/>
    <w:basedOn w:val="Normal"/>
    <w:link w:val="CorpodetextoChar"/>
    <w:rsid w:val="00F83299"/>
    <w:pPr>
      <w:spacing w:before="120" w:after="0" w:line="360" w:lineRule="auto"/>
      <w:jc w:val="both"/>
    </w:pPr>
    <w:rPr>
      <w:rFonts w:ascii="Times New Roman" w:eastAsia="Times New Roman" w:hAnsi="Times New Roman"/>
      <w:sz w:val="24"/>
      <w:szCs w:val="24"/>
      <w:lang w:eastAsia="pt-BR"/>
    </w:rPr>
  </w:style>
  <w:style w:type="character" w:customStyle="1" w:styleId="CorpodetextoChar">
    <w:name w:val="Corpo de texto Char"/>
    <w:link w:val="Corpodetexto"/>
    <w:rsid w:val="00F83299"/>
    <w:rPr>
      <w:rFonts w:ascii="Times New Roman" w:eastAsia="Times New Roman" w:hAnsi="Times New Roman"/>
      <w:sz w:val="24"/>
      <w:szCs w:val="24"/>
    </w:rPr>
  </w:style>
  <w:style w:type="paragraph" w:styleId="PargrafodaLista">
    <w:name w:val="List Paragraph"/>
    <w:basedOn w:val="Normal"/>
    <w:uiPriority w:val="34"/>
    <w:qFormat/>
    <w:rsid w:val="00CC306B"/>
    <w:pPr>
      <w:ind w:left="720"/>
      <w:contextualSpacing/>
    </w:pPr>
    <w:rPr>
      <w:rFonts w:asciiTheme="minorHAnsi" w:eastAsiaTheme="minorEastAsia" w:hAnsiTheme="minorHAnsi" w:cstheme="minorBidi"/>
      <w:lang w:eastAsia="pt-BR"/>
    </w:rPr>
  </w:style>
  <w:style w:type="paragraph" w:customStyle="1" w:styleId="Pa14">
    <w:name w:val="Pa14"/>
    <w:basedOn w:val="Normal"/>
    <w:next w:val="Normal"/>
    <w:uiPriority w:val="99"/>
    <w:rsid w:val="00CC306B"/>
    <w:pPr>
      <w:autoSpaceDE w:val="0"/>
      <w:autoSpaceDN w:val="0"/>
      <w:adjustRightInd w:val="0"/>
      <w:spacing w:after="0" w:line="231" w:lineRule="atLeast"/>
    </w:pPr>
    <w:rPr>
      <w:rFonts w:ascii="Times New Roman" w:eastAsiaTheme="minorEastAsia" w:hAnsi="Times New Roman"/>
      <w:sz w:val="24"/>
      <w:szCs w:val="24"/>
      <w:lang w:eastAsia="pt-BR"/>
    </w:rPr>
  </w:style>
  <w:style w:type="character" w:styleId="Hyperlink">
    <w:name w:val="Hyperlink"/>
    <w:basedOn w:val="Fontepargpadro"/>
    <w:uiPriority w:val="99"/>
    <w:unhideWhenUsed/>
    <w:rsid w:val="00CC306B"/>
    <w:rPr>
      <w:color w:val="0000FF" w:themeColor="hyperlink"/>
      <w:u w:val="single"/>
    </w:rPr>
  </w:style>
  <w:style w:type="character" w:customStyle="1" w:styleId="TextodecomentrioChar">
    <w:name w:val="Texto de comentário Char"/>
    <w:basedOn w:val="Fontepargpadro"/>
    <w:link w:val="Textodecomentrio"/>
    <w:uiPriority w:val="99"/>
    <w:semiHidden/>
    <w:rsid w:val="00CC306B"/>
    <w:rPr>
      <w:rFonts w:asciiTheme="minorHAnsi" w:eastAsiaTheme="minorEastAsia" w:hAnsiTheme="minorHAnsi" w:cstheme="minorBidi"/>
    </w:rPr>
  </w:style>
  <w:style w:type="paragraph" w:styleId="Textodecomentrio">
    <w:name w:val="annotation text"/>
    <w:basedOn w:val="Normal"/>
    <w:link w:val="TextodecomentrioChar"/>
    <w:uiPriority w:val="99"/>
    <w:semiHidden/>
    <w:unhideWhenUsed/>
    <w:rsid w:val="00CC306B"/>
    <w:pPr>
      <w:spacing w:line="240" w:lineRule="auto"/>
    </w:pPr>
    <w:rPr>
      <w:rFonts w:asciiTheme="minorHAnsi" w:eastAsiaTheme="minorEastAsia" w:hAnsiTheme="minorHAnsi" w:cstheme="minorBidi"/>
      <w:sz w:val="20"/>
      <w:szCs w:val="20"/>
      <w:lang w:eastAsia="pt-BR"/>
    </w:rPr>
  </w:style>
  <w:style w:type="character" w:customStyle="1" w:styleId="AssuntodocomentrioChar">
    <w:name w:val="Assunto do comentário Char"/>
    <w:basedOn w:val="TextodecomentrioChar"/>
    <w:link w:val="Assuntodocomentrio"/>
    <w:uiPriority w:val="99"/>
    <w:semiHidden/>
    <w:rsid w:val="00CC306B"/>
    <w:rPr>
      <w:rFonts w:asciiTheme="minorHAnsi" w:eastAsiaTheme="minorEastAsia" w:hAnsiTheme="minorHAnsi" w:cstheme="minorBidi"/>
      <w:b/>
      <w:bCs/>
    </w:rPr>
  </w:style>
  <w:style w:type="paragraph" w:styleId="Assuntodocomentrio">
    <w:name w:val="annotation subject"/>
    <w:basedOn w:val="Textodecomentrio"/>
    <w:next w:val="Textodecomentrio"/>
    <w:link w:val="AssuntodocomentrioChar"/>
    <w:uiPriority w:val="99"/>
    <w:semiHidden/>
    <w:unhideWhenUsed/>
    <w:rsid w:val="00CC306B"/>
    <w:rPr>
      <w:b/>
      <w:bCs/>
    </w:rPr>
  </w:style>
  <w:style w:type="paragraph" w:styleId="SemEspaamento">
    <w:name w:val="No Spacing"/>
    <w:link w:val="SemEspaamentoChar"/>
    <w:uiPriority w:val="1"/>
    <w:qFormat/>
    <w:rsid w:val="00CC306B"/>
    <w:rPr>
      <w:rFonts w:eastAsia="Times New Roman"/>
      <w:sz w:val="22"/>
      <w:szCs w:val="22"/>
    </w:rPr>
  </w:style>
  <w:style w:type="character" w:customStyle="1" w:styleId="SemEspaamentoChar">
    <w:name w:val="Sem Espaçamento Char"/>
    <w:link w:val="SemEspaamento"/>
    <w:uiPriority w:val="1"/>
    <w:rsid w:val="00CC306B"/>
    <w:rPr>
      <w:rFonts w:eastAsia="Times New Roman"/>
      <w:sz w:val="22"/>
      <w:szCs w:val="22"/>
    </w:rPr>
  </w:style>
  <w:style w:type="character" w:customStyle="1" w:styleId="TextodenotaderodapChar">
    <w:name w:val="Texto de nota de rodapé Char"/>
    <w:basedOn w:val="Fontepargpadro"/>
    <w:link w:val="Textodenotaderodap"/>
    <w:uiPriority w:val="99"/>
    <w:rsid w:val="00CC306B"/>
  </w:style>
  <w:style w:type="paragraph" w:styleId="Textodenotaderodap">
    <w:name w:val="footnote text"/>
    <w:basedOn w:val="Normal"/>
    <w:link w:val="TextodenotaderodapChar"/>
    <w:uiPriority w:val="99"/>
    <w:unhideWhenUsed/>
    <w:rsid w:val="00CC306B"/>
    <w:pPr>
      <w:spacing w:after="0" w:line="240" w:lineRule="auto"/>
    </w:pPr>
    <w:rPr>
      <w:sz w:val="20"/>
      <w:szCs w:val="20"/>
      <w:lang w:eastAsia="pt-BR"/>
    </w:rPr>
  </w:style>
  <w:style w:type="character" w:customStyle="1" w:styleId="TextodenotaderodapChar1">
    <w:name w:val="Texto de nota de rodapé Char1"/>
    <w:basedOn w:val="Fontepargpadro"/>
    <w:uiPriority w:val="99"/>
    <w:semiHidden/>
    <w:rsid w:val="00CC306B"/>
    <w:rPr>
      <w:lang w:eastAsia="en-US"/>
    </w:rPr>
  </w:style>
  <w:style w:type="paragraph" w:styleId="Sumrio1">
    <w:name w:val="toc 1"/>
    <w:basedOn w:val="Normal"/>
    <w:next w:val="Normal"/>
    <w:autoRedefine/>
    <w:uiPriority w:val="39"/>
    <w:unhideWhenUsed/>
    <w:rsid w:val="00CC306B"/>
    <w:pPr>
      <w:tabs>
        <w:tab w:val="right" w:leader="dot" w:pos="9061"/>
      </w:tabs>
      <w:spacing w:after="100" w:line="240" w:lineRule="auto"/>
      <w:jc w:val="both"/>
    </w:pPr>
    <w:rPr>
      <w:rFonts w:asciiTheme="minorHAnsi" w:eastAsiaTheme="minorEastAsia" w:hAnsiTheme="minorHAnsi" w:cstheme="minorBidi"/>
      <w:lang w:eastAsia="pt-BR"/>
    </w:rPr>
  </w:style>
  <w:style w:type="paragraph" w:styleId="Sumrio2">
    <w:name w:val="toc 2"/>
    <w:basedOn w:val="Normal"/>
    <w:next w:val="Normal"/>
    <w:autoRedefine/>
    <w:uiPriority w:val="39"/>
    <w:unhideWhenUsed/>
    <w:rsid w:val="00CC306B"/>
    <w:pPr>
      <w:tabs>
        <w:tab w:val="right" w:leader="dot" w:pos="9061"/>
      </w:tabs>
      <w:spacing w:after="100"/>
    </w:pPr>
    <w:rPr>
      <w:rFonts w:asciiTheme="minorHAnsi" w:eastAsiaTheme="minorEastAsia" w:hAnsiTheme="minorHAnsi" w:cstheme="minorBidi"/>
      <w:lang w:eastAsia="pt-BR"/>
    </w:rPr>
  </w:style>
  <w:style w:type="paragraph" w:styleId="Legenda">
    <w:name w:val="caption"/>
    <w:basedOn w:val="Normal"/>
    <w:next w:val="Normal"/>
    <w:uiPriority w:val="35"/>
    <w:unhideWhenUsed/>
    <w:qFormat/>
    <w:rsid w:val="00CC306B"/>
    <w:pPr>
      <w:spacing w:line="240" w:lineRule="auto"/>
    </w:pPr>
    <w:rPr>
      <w:rFonts w:asciiTheme="minorHAnsi" w:eastAsiaTheme="minorEastAsia" w:hAnsiTheme="minorHAnsi" w:cstheme="minorBidi"/>
      <w:b/>
      <w:bCs/>
      <w:color w:val="4F81BD" w:themeColor="accent1"/>
      <w:sz w:val="18"/>
      <w:szCs w:val="18"/>
      <w:lang w:eastAsia="pt-BR"/>
    </w:rPr>
  </w:style>
  <w:style w:type="paragraph" w:styleId="ndicedeilustraes">
    <w:name w:val="table of figures"/>
    <w:basedOn w:val="Normal"/>
    <w:next w:val="Normal"/>
    <w:uiPriority w:val="99"/>
    <w:unhideWhenUsed/>
    <w:rsid w:val="00CC306B"/>
    <w:pPr>
      <w:spacing w:after="0"/>
    </w:pPr>
    <w:rPr>
      <w:rFonts w:asciiTheme="minorHAnsi" w:eastAsiaTheme="minorEastAsia" w:hAnsiTheme="minorHAnsi" w:cstheme="minorBidi"/>
      <w:lang w:eastAsia="pt-BR"/>
    </w:rPr>
  </w:style>
  <w:style w:type="character" w:styleId="Refdenotaderodap">
    <w:name w:val="footnote reference"/>
    <w:uiPriority w:val="99"/>
    <w:semiHidden/>
    <w:unhideWhenUsed/>
    <w:rsid w:val="00CC306B"/>
    <w:rPr>
      <w:vertAlign w:val="superscript"/>
    </w:rPr>
  </w:style>
  <w:style w:type="paragraph" w:styleId="Pr-formataoHTML">
    <w:name w:val="HTML Preformatted"/>
    <w:basedOn w:val="Normal"/>
    <w:link w:val="Pr-formataoHTMLChar"/>
    <w:uiPriority w:val="99"/>
    <w:unhideWhenUsed/>
    <w:rsid w:val="00CC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CC306B"/>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F83299"/>
    <w:pPr>
      <w:keepNext/>
      <w:spacing w:after="0" w:line="240" w:lineRule="auto"/>
      <w:outlineLvl w:val="0"/>
    </w:pPr>
    <w:rPr>
      <w:rFonts w:ascii="Times New Roman" w:eastAsia="Times New Roman" w:hAnsi="Times New Roman"/>
      <w:b/>
      <w:caps/>
      <w:kern w:val="28"/>
      <w:sz w:val="24"/>
      <w:szCs w:val="20"/>
      <w:lang w:eastAsia="pt-BR"/>
    </w:rPr>
  </w:style>
  <w:style w:type="paragraph" w:styleId="Ttulo2">
    <w:name w:val="heading 2"/>
    <w:basedOn w:val="Normal"/>
    <w:next w:val="Normal"/>
    <w:link w:val="Ttulo2Char"/>
    <w:uiPriority w:val="9"/>
    <w:unhideWhenUsed/>
    <w:qFormat/>
    <w:rsid w:val="00CC306B"/>
    <w:pPr>
      <w:keepNext/>
      <w:keepLines/>
      <w:spacing w:before="200" w:after="0"/>
      <w:outlineLvl w:val="1"/>
    </w:pPr>
    <w:rPr>
      <w:rFonts w:asciiTheme="majorHAnsi" w:eastAsiaTheme="majorEastAsia" w:hAnsiTheme="majorHAnsi" w:cstheme="majorBidi"/>
      <w:b/>
      <w:bCs/>
      <w:color w:val="4F81BD" w:themeColor="accent1"/>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F83299"/>
    <w:rPr>
      <w:rFonts w:ascii="Times New Roman" w:eastAsia="Times New Roman" w:hAnsi="Times New Roman"/>
      <w:b/>
      <w:caps/>
      <w:kern w:val="28"/>
      <w:sz w:val="24"/>
    </w:rPr>
  </w:style>
  <w:style w:type="character" w:customStyle="1" w:styleId="Ttulo2Char">
    <w:name w:val="Título 2 Char"/>
    <w:basedOn w:val="Fontepargpadro"/>
    <w:link w:val="Ttulo2"/>
    <w:uiPriority w:val="9"/>
    <w:rsid w:val="00CC306B"/>
    <w:rPr>
      <w:rFonts w:asciiTheme="majorHAnsi" w:eastAsiaTheme="majorEastAsia" w:hAnsiTheme="majorHAnsi" w:cstheme="majorBidi"/>
      <w:b/>
      <w:bCs/>
      <w:color w:val="4F81BD" w:themeColor="accent1"/>
      <w:sz w:val="26"/>
      <w:szCs w:val="26"/>
    </w:rPr>
  </w:style>
  <w:style w:type="paragraph" w:styleId="Cabealho">
    <w:name w:val="header"/>
    <w:basedOn w:val="Normal"/>
    <w:link w:val="CabealhoChar"/>
    <w:uiPriority w:val="99"/>
    <w:unhideWhenUsed/>
    <w:rsid w:val="00A377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7738"/>
  </w:style>
  <w:style w:type="paragraph" w:styleId="Rodap">
    <w:name w:val="footer"/>
    <w:basedOn w:val="Normal"/>
    <w:link w:val="RodapChar"/>
    <w:uiPriority w:val="99"/>
    <w:unhideWhenUsed/>
    <w:rsid w:val="00A37738"/>
    <w:pPr>
      <w:tabs>
        <w:tab w:val="center" w:pos="4252"/>
        <w:tab w:val="right" w:pos="8504"/>
      </w:tabs>
      <w:spacing w:after="0" w:line="240" w:lineRule="auto"/>
    </w:pPr>
  </w:style>
  <w:style w:type="character" w:customStyle="1" w:styleId="RodapChar">
    <w:name w:val="Rodapé Char"/>
    <w:basedOn w:val="Fontepargpadro"/>
    <w:link w:val="Rodap"/>
    <w:uiPriority w:val="99"/>
    <w:rsid w:val="00A37738"/>
  </w:style>
  <w:style w:type="paragraph" w:styleId="Textodebalo">
    <w:name w:val="Balloon Text"/>
    <w:basedOn w:val="Normal"/>
    <w:link w:val="TextodebaloChar"/>
    <w:uiPriority w:val="99"/>
    <w:semiHidden/>
    <w:unhideWhenUsed/>
    <w:rsid w:val="00A3773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37738"/>
    <w:rPr>
      <w:rFonts w:ascii="Tahoma" w:hAnsi="Tahoma" w:cs="Tahoma"/>
      <w:sz w:val="16"/>
      <w:szCs w:val="16"/>
    </w:rPr>
  </w:style>
  <w:style w:type="paragraph" w:styleId="Corpodetexto3">
    <w:name w:val="Body Text 3"/>
    <w:basedOn w:val="Normal"/>
    <w:link w:val="Corpodetexto3Char"/>
    <w:rsid w:val="00F83299"/>
    <w:pPr>
      <w:spacing w:after="0" w:line="240" w:lineRule="auto"/>
      <w:jc w:val="center"/>
    </w:pPr>
    <w:rPr>
      <w:rFonts w:ascii="Times New Roman" w:eastAsia="Times New Roman" w:hAnsi="Times New Roman"/>
      <w:b/>
      <w:sz w:val="28"/>
      <w:szCs w:val="24"/>
      <w:lang w:eastAsia="pt-BR"/>
    </w:rPr>
  </w:style>
  <w:style w:type="character" w:customStyle="1" w:styleId="Corpodetexto3Char">
    <w:name w:val="Corpo de texto 3 Char"/>
    <w:link w:val="Corpodetexto3"/>
    <w:rsid w:val="00F83299"/>
    <w:rPr>
      <w:rFonts w:ascii="Times New Roman" w:eastAsia="Times New Roman" w:hAnsi="Times New Roman"/>
      <w:b/>
      <w:sz w:val="28"/>
      <w:szCs w:val="24"/>
    </w:rPr>
  </w:style>
  <w:style w:type="paragraph" w:styleId="Ttulo">
    <w:name w:val="Title"/>
    <w:basedOn w:val="Normal"/>
    <w:link w:val="TtuloChar"/>
    <w:qFormat/>
    <w:rsid w:val="00F83299"/>
    <w:pPr>
      <w:spacing w:after="0" w:line="240" w:lineRule="auto"/>
      <w:jc w:val="center"/>
    </w:pPr>
    <w:rPr>
      <w:rFonts w:ascii="Arial" w:eastAsia="Times New Roman" w:hAnsi="Arial"/>
      <w:b/>
      <w:sz w:val="28"/>
      <w:szCs w:val="24"/>
      <w:lang w:val="en-GB" w:eastAsia="pt-BR"/>
    </w:rPr>
  </w:style>
  <w:style w:type="character" w:customStyle="1" w:styleId="TtuloChar">
    <w:name w:val="Título Char"/>
    <w:link w:val="Ttulo"/>
    <w:rsid w:val="00F83299"/>
    <w:rPr>
      <w:rFonts w:ascii="Arial" w:eastAsia="Times New Roman" w:hAnsi="Arial"/>
      <w:b/>
      <w:sz w:val="28"/>
      <w:szCs w:val="24"/>
      <w:lang w:val="en-GB"/>
    </w:rPr>
  </w:style>
  <w:style w:type="paragraph" w:styleId="Corpodetexto">
    <w:name w:val="Body Text"/>
    <w:basedOn w:val="Normal"/>
    <w:link w:val="CorpodetextoChar"/>
    <w:rsid w:val="00F83299"/>
    <w:pPr>
      <w:spacing w:before="120" w:after="0" w:line="360" w:lineRule="auto"/>
      <w:jc w:val="both"/>
    </w:pPr>
    <w:rPr>
      <w:rFonts w:ascii="Times New Roman" w:eastAsia="Times New Roman" w:hAnsi="Times New Roman"/>
      <w:sz w:val="24"/>
      <w:szCs w:val="24"/>
      <w:lang w:eastAsia="pt-BR"/>
    </w:rPr>
  </w:style>
  <w:style w:type="character" w:customStyle="1" w:styleId="CorpodetextoChar">
    <w:name w:val="Corpo de texto Char"/>
    <w:link w:val="Corpodetexto"/>
    <w:rsid w:val="00F83299"/>
    <w:rPr>
      <w:rFonts w:ascii="Times New Roman" w:eastAsia="Times New Roman" w:hAnsi="Times New Roman"/>
      <w:sz w:val="24"/>
      <w:szCs w:val="24"/>
    </w:rPr>
  </w:style>
  <w:style w:type="paragraph" w:styleId="PargrafodaLista">
    <w:name w:val="List Paragraph"/>
    <w:basedOn w:val="Normal"/>
    <w:uiPriority w:val="34"/>
    <w:qFormat/>
    <w:rsid w:val="00CC306B"/>
    <w:pPr>
      <w:ind w:left="720"/>
      <w:contextualSpacing/>
    </w:pPr>
    <w:rPr>
      <w:rFonts w:asciiTheme="minorHAnsi" w:eastAsiaTheme="minorEastAsia" w:hAnsiTheme="minorHAnsi" w:cstheme="minorBidi"/>
      <w:lang w:eastAsia="pt-BR"/>
    </w:rPr>
  </w:style>
  <w:style w:type="paragraph" w:customStyle="1" w:styleId="Pa14">
    <w:name w:val="Pa14"/>
    <w:basedOn w:val="Normal"/>
    <w:next w:val="Normal"/>
    <w:uiPriority w:val="99"/>
    <w:rsid w:val="00CC306B"/>
    <w:pPr>
      <w:autoSpaceDE w:val="0"/>
      <w:autoSpaceDN w:val="0"/>
      <w:adjustRightInd w:val="0"/>
      <w:spacing w:after="0" w:line="231" w:lineRule="atLeast"/>
    </w:pPr>
    <w:rPr>
      <w:rFonts w:ascii="Times New Roman" w:eastAsiaTheme="minorEastAsia" w:hAnsi="Times New Roman"/>
      <w:sz w:val="24"/>
      <w:szCs w:val="24"/>
      <w:lang w:eastAsia="pt-BR"/>
    </w:rPr>
  </w:style>
  <w:style w:type="character" w:styleId="Hyperlink">
    <w:name w:val="Hyperlink"/>
    <w:basedOn w:val="Fontepargpadro"/>
    <w:uiPriority w:val="99"/>
    <w:unhideWhenUsed/>
    <w:rsid w:val="00CC306B"/>
    <w:rPr>
      <w:color w:val="0000FF" w:themeColor="hyperlink"/>
      <w:u w:val="single"/>
    </w:rPr>
  </w:style>
  <w:style w:type="character" w:customStyle="1" w:styleId="TextodecomentrioChar">
    <w:name w:val="Texto de comentário Char"/>
    <w:basedOn w:val="Fontepargpadro"/>
    <w:link w:val="Textodecomentrio"/>
    <w:uiPriority w:val="99"/>
    <w:semiHidden/>
    <w:rsid w:val="00CC306B"/>
    <w:rPr>
      <w:rFonts w:asciiTheme="minorHAnsi" w:eastAsiaTheme="minorEastAsia" w:hAnsiTheme="minorHAnsi" w:cstheme="minorBidi"/>
    </w:rPr>
  </w:style>
  <w:style w:type="paragraph" w:styleId="Textodecomentrio">
    <w:name w:val="annotation text"/>
    <w:basedOn w:val="Normal"/>
    <w:link w:val="TextodecomentrioChar"/>
    <w:uiPriority w:val="99"/>
    <w:semiHidden/>
    <w:unhideWhenUsed/>
    <w:rsid w:val="00CC306B"/>
    <w:pPr>
      <w:spacing w:line="240" w:lineRule="auto"/>
    </w:pPr>
    <w:rPr>
      <w:rFonts w:asciiTheme="minorHAnsi" w:eastAsiaTheme="minorEastAsia" w:hAnsiTheme="minorHAnsi" w:cstheme="minorBidi"/>
      <w:sz w:val="20"/>
      <w:szCs w:val="20"/>
      <w:lang w:eastAsia="pt-BR"/>
    </w:rPr>
  </w:style>
  <w:style w:type="character" w:customStyle="1" w:styleId="AssuntodocomentrioChar">
    <w:name w:val="Assunto do comentário Char"/>
    <w:basedOn w:val="TextodecomentrioChar"/>
    <w:link w:val="Assuntodocomentrio"/>
    <w:uiPriority w:val="99"/>
    <w:semiHidden/>
    <w:rsid w:val="00CC306B"/>
    <w:rPr>
      <w:rFonts w:asciiTheme="minorHAnsi" w:eastAsiaTheme="minorEastAsia" w:hAnsiTheme="minorHAnsi" w:cstheme="minorBidi"/>
      <w:b/>
      <w:bCs/>
    </w:rPr>
  </w:style>
  <w:style w:type="paragraph" w:styleId="Assuntodocomentrio">
    <w:name w:val="annotation subject"/>
    <w:basedOn w:val="Textodecomentrio"/>
    <w:next w:val="Textodecomentrio"/>
    <w:link w:val="AssuntodocomentrioChar"/>
    <w:uiPriority w:val="99"/>
    <w:semiHidden/>
    <w:unhideWhenUsed/>
    <w:rsid w:val="00CC306B"/>
    <w:rPr>
      <w:b/>
      <w:bCs/>
    </w:rPr>
  </w:style>
  <w:style w:type="paragraph" w:styleId="SemEspaamento">
    <w:name w:val="No Spacing"/>
    <w:link w:val="SemEspaamentoChar"/>
    <w:uiPriority w:val="1"/>
    <w:qFormat/>
    <w:rsid w:val="00CC306B"/>
    <w:rPr>
      <w:rFonts w:eastAsia="Times New Roman"/>
      <w:sz w:val="22"/>
      <w:szCs w:val="22"/>
    </w:rPr>
  </w:style>
  <w:style w:type="character" w:customStyle="1" w:styleId="SemEspaamentoChar">
    <w:name w:val="Sem Espaçamento Char"/>
    <w:link w:val="SemEspaamento"/>
    <w:uiPriority w:val="1"/>
    <w:rsid w:val="00CC306B"/>
    <w:rPr>
      <w:rFonts w:eastAsia="Times New Roman"/>
      <w:sz w:val="22"/>
      <w:szCs w:val="22"/>
    </w:rPr>
  </w:style>
  <w:style w:type="character" w:customStyle="1" w:styleId="TextodenotaderodapChar">
    <w:name w:val="Texto de nota de rodapé Char"/>
    <w:basedOn w:val="Fontepargpadro"/>
    <w:link w:val="Textodenotaderodap"/>
    <w:uiPriority w:val="99"/>
    <w:rsid w:val="00CC306B"/>
  </w:style>
  <w:style w:type="paragraph" w:styleId="Textodenotaderodap">
    <w:name w:val="footnote text"/>
    <w:basedOn w:val="Normal"/>
    <w:link w:val="TextodenotaderodapChar"/>
    <w:uiPriority w:val="99"/>
    <w:unhideWhenUsed/>
    <w:rsid w:val="00CC306B"/>
    <w:pPr>
      <w:spacing w:after="0" w:line="240" w:lineRule="auto"/>
    </w:pPr>
    <w:rPr>
      <w:sz w:val="20"/>
      <w:szCs w:val="20"/>
      <w:lang w:eastAsia="pt-BR"/>
    </w:rPr>
  </w:style>
  <w:style w:type="character" w:customStyle="1" w:styleId="TextodenotaderodapChar1">
    <w:name w:val="Texto de nota de rodapé Char1"/>
    <w:basedOn w:val="Fontepargpadro"/>
    <w:uiPriority w:val="99"/>
    <w:semiHidden/>
    <w:rsid w:val="00CC306B"/>
    <w:rPr>
      <w:lang w:eastAsia="en-US"/>
    </w:rPr>
  </w:style>
  <w:style w:type="paragraph" w:styleId="Sumrio1">
    <w:name w:val="toc 1"/>
    <w:basedOn w:val="Normal"/>
    <w:next w:val="Normal"/>
    <w:autoRedefine/>
    <w:uiPriority w:val="39"/>
    <w:unhideWhenUsed/>
    <w:rsid w:val="00CC306B"/>
    <w:pPr>
      <w:tabs>
        <w:tab w:val="right" w:leader="dot" w:pos="9061"/>
      </w:tabs>
      <w:spacing w:after="100" w:line="240" w:lineRule="auto"/>
      <w:jc w:val="both"/>
    </w:pPr>
    <w:rPr>
      <w:rFonts w:asciiTheme="minorHAnsi" w:eastAsiaTheme="minorEastAsia" w:hAnsiTheme="minorHAnsi" w:cstheme="minorBidi"/>
      <w:lang w:eastAsia="pt-BR"/>
    </w:rPr>
  </w:style>
  <w:style w:type="paragraph" w:styleId="Sumrio2">
    <w:name w:val="toc 2"/>
    <w:basedOn w:val="Normal"/>
    <w:next w:val="Normal"/>
    <w:autoRedefine/>
    <w:uiPriority w:val="39"/>
    <w:unhideWhenUsed/>
    <w:rsid w:val="00CC306B"/>
    <w:pPr>
      <w:tabs>
        <w:tab w:val="right" w:leader="dot" w:pos="9061"/>
      </w:tabs>
      <w:spacing w:after="100"/>
    </w:pPr>
    <w:rPr>
      <w:rFonts w:asciiTheme="minorHAnsi" w:eastAsiaTheme="minorEastAsia" w:hAnsiTheme="minorHAnsi" w:cstheme="minorBidi"/>
      <w:lang w:eastAsia="pt-BR"/>
    </w:rPr>
  </w:style>
  <w:style w:type="paragraph" w:styleId="Legenda">
    <w:name w:val="caption"/>
    <w:basedOn w:val="Normal"/>
    <w:next w:val="Normal"/>
    <w:uiPriority w:val="35"/>
    <w:unhideWhenUsed/>
    <w:qFormat/>
    <w:rsid w:val="00CC306B"/>
    <w:pPr>
      <w:spacing w:line="240" w:lineRule="auto"/>
    </w:pPr>
    <w:rPr>
      <w:rFonts w:asciiTheme="minorHAnsi" w:eastAsiaTheme="minorEastAsia" w:hAnsiTheme="minorHAnsi" w:cstheme="minorBidi"/>
      <w:b/>
      <w:bCs/>
      <w:color w:val="4F81BD" w:themeColor="accent1"/>
      <w:sz w:val="18"/>
      <w:szCs w:val="18"/>
      <w:lang w:eastAsia="pt-BR"/>
    </w:rPr>
  </w:style>
  <w:style w:type="paragraph" w:styleId="ndicedeilustraes">
    <w:name w:val="table of figures"/>
    <w:basedOn w:val="Normal"/>
    <w:next w:val="Normal"/>
    <w:uiPriority w:val="99"/>
    <w:unhideWhenUsed/>
    <w:rsid w:val="00CC306B"/>
    <w:pPr>
      <w:spacing w:after="0"/>
    </w:pPr>
    <w:rPr>
      <w:rFonts w:asciiTheme="minorHAnsi" w:eastAsiaTheme="minorEastAsia" w:hAnsiTheme="minorHAnsi" w:cstheme="minorBidi"/>
      <w:lang w:eastAsia="pt-BR"/>
    </w:rPr>
  </w:style>
  <w:style w:type="character" w:styleId="Refdenotaderodap">
    <w:name w:val="footnote reference"/>
    <w:uiPriority w:val="99"/>
    <w:semiHidden/>
    <w:unhideWhenUsed/>
    <w:rsid w:val="00CC306B"/>
    <w:rPr>
      <w:vertAlign w:val="superscript"/>
    </w:rPr>
  </w:style>
  <w:style w:type="paragraph" w:styleId="Pr-formataoHTML">
    <w:name w:val="HTML Preformatted"/>
    <w:basedOn w:val="Normal"/>
    <w:link w:val="Pr-formataoHTMLChar"/>
    <w:uiPriority w:val="99"/>
    <w:unhideWhenUsed/>
    <w:rsid w:val="00CC3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CC306B"/>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hyperlink" Target="mailto:joaciraquino@yahoo.com.br" TargetMode="External"/><Relationship Id="rId4" Type="http://schemas.microsoft.com/office/2007/relationships/stylesWithEffects" Target="stylesWithEffects.xml"/><Relationship Id="rId9" Type="http://schemas.openxmlformats.org/officeDocument/2006/relationships/hyperlink" Target="mailto:hericalive@hotmail.com"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milho%20e%20feij&#227;o%20r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invertIfNegative val="0"/>
          <c:dLbls>
            <c:txPr>
              <a:bodyPr/>
              <a:lstStyle/>
              <a:p>
                <a:pPr>
                  <a:defRPr sz="1100"/>
                </a:pPr>
                <a:endParaRPr lang="pt-BR"/>
              </a:p>
            </c:txPr>
            <c:showLegendKey val="0"/>
            <c:showVal val="1"/>
            <c:showCatName val="0"/>
            <c:showSerName val="0"/>
            <c:showPercent val="0"/>
            <c:showBubbleSize val="0"/>
            <c:showLeaderLines val="0"/>
          </c:dLbls>
          <c:cat>
            <c:numRef>
              <c:f>Plan1!$A$5:$A$9</c:f>
              <c:numCache>
                <c:formatCode>General</c:formatCode>
                <c:ptCount val="5"/>
                <c:pt idx="0">
                  <c:v>2012</c:v>
                </c:pt>
                <c:pt idx="1">
                  <c:v>2013</c:v>
                </c:pt>
                <c:pt idx="2">
                  <c:v>2014</c:v>
                </c:pt>
                <c:pt idx="3">
                  <c:v>2015</c:v>
                </c:pt>
                <c:pt idx="4">
                  <c:v>2016</c:v>
                </c:pt>
              </c:numCache>
            </c:numRef>
          </c:cat>
          <c:val>
            <c:numRef>
              <c:f>Plan1!$B$5:$B$9</c:f>
              <c:numCache>
                <c:formatCode>0%</c:formatCode>
                <c:ptCount val="5"/>
                <c:pt idx="0">
                  <c:v>0.752</c:v>
                </c:pt>
                <c:pt idx="1">
                  <c:v>0.45900000000000002</c:v>
                </c:pt>
                <c:pt idx="2">
                  <c:v>0.33</c:v>
                </c:pt>
                <c:pt idx="3">
                  <c:v>0.28599999999999998</c:v>
                </c:pt>
                <c:pt idx="4">
                  <c:v>0.19600000000000001</c:v>
                </c:pt>
              </c:numCache>
            </c:numRef>
          </c:val>
        </c:ser>
        <c:dLbls>
          <c:showLegendKey val="0"/>
          <c:showVal val="0"/>
          <c:showCatName val="0"/>
          <c:showSerName val="0"/>
          <c:showPercent val="0"/>
          <c:showBubbleSize val="0"/>
        </c:dLbls>
        <c:gapWidth val="150"/>
        <c:axId val="167688448"/>
        <c:axId val="169895040"/>
      </c:barChart>
      <c:catAx>
        <c:axId val="167688448"/>
        <c:scaling>
          <c:orientation val="minMax"/>
        </c:scaling>
        <c:delete val="0"/>
        <c:axPos val="b"/>
        <c:numFmt formatCode="General" sourceLinked="1"/>
        <c:majorTickMark val="out"/>
        <c:minorTickMark val="none"/>
        <c:tickLblPos val="nextTo"/>
        <c:txPr>
          <a:bodyPr/>
          <a:lstStyle/>
          <a:p>
            <a:pPr>
              <a:defRPr sz="1200"/>
            </a:pPr>
            <a:endParaRPr lang="pt-BR"/>
          </a:p>
        </c:txPr>
        <c:crossAx val="169895040"/>
        <c:crosses val="autoZero"/>
        <c:auto val="1"/>
        <c:lblAlgn val="ctr"/>
        <c:lblOffset val="100"/>
        <c:noMultiLvlLbl val="0"/>
      </c:catAx>
      <c:valAx>
        <c:axId val="169895040"/>
        <c:scaling>
          <c:orientation val="minMax"/>
        </c:scaling>
        <c:delete val="0"/>
        <c:axPos val="l"/>
        <c:majorGridlines/>
        <c:numFmt formatCode="0%" sourceLinked="1"/>
        <c:majorTickMark val="out"/>
        <c:minorTickMark val="none"/>
        <c:tickLblPos val="nextTo"/>
        <c:txPr>
          <a:bodyPr/>
          <a:lstStyle/>
          <a:p>
            <a:pPr>
              <a:defRPr sz="1200"/>
            </a:pPr>
            <a:endParaRPr lang="pt-BR"/>
          </a:p>
        </c:txPr>
        <c:crossAx val="16768844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'milho e feijão rn'!$A$6</c:f>
              <c:strCache>
                <c:ptCount val="1"/>
                <c:pt idx="0">
                  <c:v>Feijão (em grão)</c:v>
                </c:pt>
              </c:strCache>
            </c:strRef>
          </c:tx>
          <c:invertIfNegative val="0"/>
          <c:cat>
            <c:numRef>
              <c:f>'milho e feijão rn'!$B$5:$V$5</c:f>
              <c:numCache>
                <c:formatCode>General</c:formatCode>
                <c:ptCount val="21"/>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numCache>
            </c:numRef>
          </c:cat>
          <c:val>
            <c:numRef>
              <c:f>'milho e feijão rn'!$B$6:$V$6</c:f>
              <c:numCache>
                <c:formatCode>General</c:formatCode>
                <c:ptCount val="21"/>
                <c:pt idx="0">
                  <c:v>61231</c:v>
                </c:pt>
                <c:pt idx="1">
                  <c:v>42096</c:v>
                </c:pt>
                <c:pt idx="2">
                  <c:v>7214</c:v>
                </c:pt>
                <c:pt idx="3">
                  <c:v>10156</c:v>
                </c:pt>
                <c:pt idx="4">
                  <c:v>42902</c:v>
                </c:pt>
                <c:pt idx="5">
                  <c:v>8112</c:v>
                </c:pt>
                <c:pt idx="6">
                  <c:v>38925</c:v>
                </c:pt>
                <c:pt idx="7">
                  <c:v>42752</c:v>
                </c:pt>
                <c:pt idx="8">
                  <c:v>42489</c:v>
                </c:pt>
                <c:pt idx="9">
                  <c:v>20832</c:v>
                </c:pt>
                <c:pt idx="10">
                  <c:v>32695</c:v>
                </c:pt>
                <c:pt idx="11">
                  <c:v>21357</c:v>
                </c:pt>
                <c:pt idx="12">
                  <c:v>33231</c:v>
                </c:pt>
                <c:pt idx="13">
                  <c:v>22422</c:v>
                </c:pt>
                <c:pt idx="14">
                  <c:v>10392</c:v>
                </c:pt>
                <c:pt idx="15">
                  <c:v>33810</c:v>
                </c:pt>
                <c:pt idx="16">
                  <c:v>1812</c:v>
                </c:pt>
                <c:pt idx="17">
                  <c:v>8832</c:v>
                </c:pt>
                <c:pt idx="18">
                  <c:v>10102</c:v>
                </c:pt>
                <c:pt idx="19">
                  <c:v>4169</c:v>
                </c:pt>
                <c:pt idx="20">
                  <c:v>3484</c:v>
                </c:pt>
              </c:numCache>
            </c:numRef>
          </c:val>
        </c:ser>
        <c:ser>
          <c:idx val="1"/>
          <c:order val="1"/>
          <c:tx>
            <c:strRef>
              <c:f>'milho e feijão rn'!$A$7</c:f>
              <c:strCache>
                <c:ptCount val="1"/>
                <c:pt idx="0">
                  <c:v>Milho (em grão)</c:v>
                </c:pt>
              </c:strCache>
            </c:strRef>
          </c:tx>
          <c:invertIfNegative val="0"/>
          <c:cat>
            <c:numRef>
              <c:f>'milho e feijão rn'!$B$5:$V$5</c:f>
              <c:numCache>
                <c:formatCode>General</c:formatCode>
                <c:ptCount val="21"/>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numCache>
            </c:numRef>
          </c:cat>
          <c:val>
            <c:numRef>
              <c:f>'milho e feijão rn'!$B$7:$V$7</c:f>
              <c:numCache>
                <c:formatCode>General</c:formatCode>
                <c:ptCount val="21"/>
                <c:pt idx="0">
                  <c:v>70488</c:v>
                </c:pt>
                <c:pt idx="1">
                  <c:v>43170</c:v>
                </c:pt>
                <c:pt idx="2">
                  <c:v>6866</c:v>
                </c:pt>
                <c:pt idx="3">
                  <c:v>10233</c:v>
                </c:pt>
                <c:pt idx="4">
                  <c:v>57564</c:v>
                </c:pt>
                <c:pt idx="5">
                  <c:v>7716</c:v>
                </c:pt>
                <c:pt idx="6">
                  <c:v>68722</c:v>
                </c:pt>
                <c:pt idx="7">
                  <c:v>69569</c:v>
                </c:pt>
                <c:pt idx="8">
                  <c:v>60570</c:v>
                </c:pt>
                <c:pt idx="9">
                  <c:v>23116</c:v>
                </c:pt>
                <c:pt idx="10">
                  <c:v>51647</c:v>
                </c:pt>
                <c:pt idx="11">
                  <c:v>28191</c:v>
                </c:pt>
                <c:pt idx="12">
                  <c:v>53771</c:v>
                </c:pt>
                <c:pt idx="13">
                  <c:v>42282</c:v>
                </c:pt>
                <c:pt idx="14">
                  <c:v>8119</c:v>
                </c:pt>
                <c:pt idx="15">
                  <c:v>47926</c:v>
                </c:pt>
                <c:pt idx="16">
                  <c:v>2489</c:v>
                </c:pt>
                <c:pt idx="17">
                  <c:v>11924</c:v>
                </c:pt>
                <c:pt idx="18">
                  <c:v>13167</c:v>
                </c:pt>
                <c:pt idx="19">
                  <c:v>4222</c:v>
                </c:pt>
                <c:pt idx="20">
                  <c:v>2943</c:v>
                </c:pt>
              </c:numCache>
            </c:numRef>
          </c:val>
        </c:ser>
        <c:dLbls>
          <c:showLegendKey val="0"/>
          <c:showVal val="0"/>
          <c:showCatName val="0"/>
          <c:showSerName val="0"/>
          <c:showPercent val="0"/>
          <c:showBubbleSize val="0"/>
        </c:dLbls>
        <c:gapWidth val="150"/>
        <c:axId val="169908864"/>
        <c:axId val="169914752"/>
      </c:barChart>
      <c:catAx>
        <c:axId val="169908864"/>
        <c:scaling>
          <c:orientation val="minMax"/>
        </c:scaling>
        <c:delete val="0"/>
        <c:axPos val="b"/>
        <c:numFmt formatCode="General" sourceLinked="1"/>
        <c:majorTickMark val="out"/>
        <c:minorTickMark val="none"/>
        <c:tickLblPos val="nextTo"/>
        <c:crossAx val="169914752"/>
        <c:crosses val="autoZero"/>
        <c:auto val="1"/>
        <c:lblAlgn val="ctr"/>
        <c:lblOffset val="100"/>
        <c:noMultiLvlLbl val="0"/>
      </c:catAx>
      <c:valAx>
        <c:axId val="169914752"/>
        <c:scaling>
          <c:orientation val="minMax"/>
        </c:scaling>
        <c:delete val="0"/>
        <c:axPos val="l"/>
        <c:majorGridlines/>
        <c:numFmt formatCode="#,##0" sourceLinked="0"/>
        <c:majorTickMark val="out"/>
        <c:minorTickMark val="none"/>
        <c:tickLblPos val="nextTo"/>
        <c:crossAx val="16990886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4300E-6323-4115-8157-A1B4EF499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21</Pages>
  <Words>8753</Words>
  <Characters>47269</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JOACIR</cp:lastModifiedBy>
  <cp:revision>23</cp:revision>
  <cp:lastPrinted>2018-03-16T12:50:00Z</cp:lastPrinted>
  <dcterms:created xsi:type="dcterms:W3CDTF">2018-01-29T20:00:00Z</dcterms:created>
  <dcterms:modified xsi:type="dcterms:W3CDTF">2018-03-17T23:05:00Z</dcterms:modified>
</cp:coreProperties>
</file>