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FF9F3" w14:textId="77777777" w:rsidR="00761BDE" w:rsidRPr="00436224" w:rsidRDefault="00F70A63" w:rsidP="00436224">
      <w:pPr>
        <w:jc w:val="center"/>
        <w:rPr>
          <w:rFonts w:ascii="Times New Roman" w:hAnsi="Times New Roman" w:cs="Times New Roman"/>
          <w:b/>
          <w:sz w:val="24"/>
          <w:szCs w:val="24"/>
        </w:rPr>
      </w:pPr>
      <w:r>
        <w:rPr>
          <w:rFonts w:ascii="Times New Roman" w:hAnsi="Times New Roman" w:cs="Times New Roman"/>
          <w:b/>
          <w:sz w:val="24"/>
          <w:szCs w:val="24"/>
        </w:rPr>
        <w:t xml:space="preserve">APLICABILIDADE DOS </w:t>
      </w:r>
      <w:r w:rsidR="00436224" w:rsidRPr="00436224">
        <w:rPr>
          <w:rFonts w:ascii="Times New Roman" w:hAnsi="Times New Roman" w:cs="Times New Roman"/>
          <w:b/>
          <w:sz w:val="24"/>
          <w:szCs w:val="24"/>
        </w:rPr>
        <w:t>INDICADORES DE SUSTENTABILIDADE SOCIAL ÀS CONSTRUÇÕES DE EDIFÍCIOS EM PERNAMBUCO</w:t>
      </w:r>
    </w:p>
    <w:p w14:paraId="52D4A5A2" w14:textId="77777777" w:rsidR="00436224" w:rsidRDefault="00436224" w:rsidP="00436224">
      <w:pPr>
        <w:spacing w:after="0"/>
        <w:jc w:val="center"/>
        <w:rPr>
          <w:rFonts w:ascii="Times New Roman" w:hAnsi="Times New Roman" w:cs="Times New Roman"/>
          <w:sz w:val="20"/>
          <w:szCs w:val="20"/>
          <w:vertAlign w:val="superscript"/>
        </w:rPr>
      </w:pPr>
      <w:r>
        <w:rPr>
          <w:rFonts w:ascii="Times New Roman" w:hAnsi="Times New Roman" w:cs="Times New Roman"/>
          <w:sz w:val="20"/>
          <w:szCs w:val="20"/>
        </w:rPr>
        <w:t>George da Mota Passos Neto</w:t>
      </w:r>
      <w:r w:rsidRPr="00436224">
        <w:rPr>
          <w:rFonts w:ascii="Times New Roman" w:hAnsi="Times New Roman" w:cs="Times New Roman"/>
          <w:sz w:val="20"/>
          <w:szCs w:val="20"/>
          <w:vertAlign w:val="superscript"/>
        </w:rPr>
        <w:t>1</w:t>
      </w:r>
      <w:r>
        <w:rPr>
          <w:rFonts w:ascii="Times New Roman" w:hAnsi="Times New Roman" w:cs="Times New Roman"/>
          <w:sz w:val="20"/>
          <w:szCs w:val="20"/>
        </w:rPr>
        <w:t>, Emilia Kohlman Rabbani</w:t>
      </w:r>
      <w:r w:rsidRPr="00436224">
        <w:rPr>
          <w:rFonts w:ascii="Times New Roman" w:hAnsi="Times New Roman" w:cs="Times New Roman"/>
          <w:sz w:val="20"/>
          <w:szCs w:val="20"/>
          <w:vertAlign w:val="superscript"/>
        </w:rPr>
        <w:t>2</w:t>
      </w:r>
      <w:r>
        <w:rPr>
          <w:rFonts w:ascii="Times New Roman" w:hAnsi="Times New Roman" w:cs="Times New Roman"/>
          <w:sz w:val="20"/>
          <w:szCs w:val="20"/>
        </w:rPr>
        <w:t xml:space="preserve"> e Rodolfo Valdes-Vasquez</w:t>
      </w:r>
      <w:r w:rsidRPr="00436224">
        <w:rPr>
          <w:rFonts w:ascii="Times New Roman" w:hAnsi="Times New Roman" w:cs="Times New Roman"/>
          <w:sz w:val="20"/>
          <w:szCs w:val="20"/>
          <w:vertAlign w:val="superscript"/>
        </w:rPr>
        <w:t>3</w:t>
      </w:r>
    </w:p>
    <w:p w14:paraId="42E32732" w14:textId="77777777" w:rsidR="00436224" w:rsidRDefault="00436224" w:rsidP="00436224">
      <w:pPr>
        <w:spacing w:after="0" w:line="240" w:lineRule="auto"/>
        <w:jc w:val="center"/>
        <w:rPr>
          <w:rFonts w:ascii="Times New Roman" w:hAnsi="Times New Roman" w:cs="Times New Roman"/>
          <w:i/>
          <w:sz w:val="20"/>
          <w:szCs w:val="20"/>
        </w:rPr>
      </w:pPr>
      <w:r w:rsidRPr="00436224">
        <w:rPr>
          <w:rFonts w:ascii="Times New Roman" w:hAnsi="Times New Roman" w:cs="Times New Roman"/>
          <w:sz w:val="20"/>
          <w:szCs w:val="20"/>
          <w:vertAlign w:val="superscript"/>
        </w:rPr>
        <w:t>1</w:t>
      </w:r>
      <w:r>
        <w:rPr>
          <w:rFonts w:ascii="Times New Roman" w:hAnsi="Times New Roman" w:cs="Times New Roman"/>
          <w:sz w:val="20"/>
          <w:szCs w:val="20"/>
          <w:vertAlign w:val="superscript"/>
        </w:rPr>
        <w:t>,2</w:t>
      </w:r>
      <w:r w:rsidRPr="00436224">
        <w:rPr>
          <w:rFonts w:ascii="Times New Roman" w:hAnsi="Times New Roman" w:cs="Times New Roman"/>
          <w:i/>
          <w:sz w:val="20"/>
          <w:szCs w:val="20"/>
        </w:rPr>
        <w:t>Universidade de Pernambuco</w:t>
      </w:r>
    </w:p>
    <w:p w14:paraId="1F637FDC" w14:textId="77777777" w:rsidR="00436224" w:rsidRDefault="00436224" w:rsidP="00436224">
      <w:pPr>
        <w:spacing w:after="0" w:line="240" w:lineRule="auto"/>
        <w:jc w:val="center"/>
        <w:rPr>
          <w:rFonts w:ascii="Times New Roman" w:hAnsi="Times New Roman" w:cs="Times New Roman"/>
          <w:i/>
          <w:sz w:val="20"/>
          <w:szCs w:val="20"/>
        </w:rPr>
      </w:pPr>
      <w:r w:rsidRPr="00436224">
        <w:rPr>
          <w:rFonts w:ascii="Times New Roman" w:hAnsi="Times New Roman" w:cs="Times New Roman"/>
          <w:i/>
          <w:sz w:val="20"/>
          <w:szCs w:val="20"/>
        </w:rPr>
        <w:t>georgepassos@gmail.com</w:t>
      </w:r>
    </w:p>
    <w:p w14:paraId="472CD477" w14:textId="77777777" w:rsidR="00436224" w:rsidRPr="0083391F" w:rsidRDefault="00436224" w:rsidP="00436224">
      <w:pPr>
        <w:spacing w:after="0"/>
        <w:jc w:val="center"/>
        <w:rPr>
          <w:rFonts w:ascii="Times New Roman" w:hAnsi="Times New Roman" w:cs="Times New Roman"/>
          <w:i/>
          <w:sz w:val="20"/>
          <w:szCs w:val="20"/>
          <w:lang w:val="en-US"/>
        </w:rPr>
      </w:pPr>
      <w:r w:rsidRPr="0083391F">
        <w:rPr>
          <w:rFonts w:ascii="Times New Roman" w:hAnsi="Times New Roman" w:cs="Times New Roman"/>
          <w:i/>
          <w:sz w:val="20"/>
          <w:szCs w:val="20"/>
          <w:lang w:val="en-US"/>
        </w:rPr>
        <w:t>emilia.rabbani@upe.br</w:t>
      </w:r>
    </w:p>
    <w:p w14:paraId="1DDFC641" w14:textId="77777777" w:rsidR="00436224" w:rsidRPr="0083391F" w:rsidRDefault="00436224" w:rsidP="00436224">
      <w:pPr>
        <w:spacing w:after="0"/>
        <w:jc w:val="center"/>
        <w:rPr>
          <w:rFonts w:ascii="Times New Roman" w:hAnsi="Times New Roman" w:cs="Times New Roman"/>
          <w:i/>
          <w:sz w:val="20"/>
          <w:szCs w:val="20"/>
          <w:lang w:val="en-US"/>
        </w:rPr>
      </w:pPr>
      <w:r w:rsidRPr="0083391F">
        <w:rPr>
          <w:rFonts w:ascii="Times New Roman" w:hAnsi="Times New Roman" w:cs="Times New Roman"/>
          <w:sz w:val="20"/>
          <w:szCs w:val="20"/>
          <w:vertAlign w:val="superscript"/>
          <w:lang w:val="en-US"/>
        </w:rPr>
        <w:t>3</w:t>
      </w:r>
      <w:r w:rsidRPr="0083391F">
        <w:rPr>
          <w:rFonts w:ascii="Times New Roman" w:hAnsi="Times New Roman" w:cs="Times New Roman"/>
          <w:i/>
          <w:sz w:val="20"/>
          <w:szCs w:val="20"/>
          <w:lang w:val="en-US"/>
        </w:rPr>
        <w:t>Colorado State University</w:t>
      </w:r>
    </w:p>
    <w:p w14:paraId="2CC56A1B" w14:textId="77777777" w:rsidR="00436224" w:rsidRPr="0083391F" w:rsidRDefault="00436224" w:rsidP="00436224">
      <w:pPr>
        <w:spacing w:after="0"/>
        <w:jc w:val="center"/>
        <w:rPr>
          <w:rFonts w:ascii="Times New Roman" w:hAnsi="Times New Roman" w:cs="Times New Roman"/>
          <w:i/>
          <w:sz w:val="20"/>
          <w:szCs w:val="20"/>
          <w:vertAlign w:val="superscript"/>
          <w:lang w:val="en-US"/>
        </w:rPr>
      </w:pPr>
      <w:r w:rsidRPr="0083391F">
        <w:rPr>
          <w:rFonts w:ascii="Times New Roman" w:hAnsi="Times New Roman" w:cs="Times New Roman"/>
          <w:i/>
          <w:sz w:val="20"/>
          <w:szCs w:val="20"/>
          <w:lang w:val="en-US"/>
        </w:rPr>
        <w:t>rodolfo.valdes_vasquez@colostate.edu</w:t>
      </w:r>
    </w:p>
    <w:p w14:paraId="2C845405" w14:textId="77777777" w:rsidR="00C019D8" w:rsidRDefault="00C019D8" w:rsidP="0083391F">
      <w:pPr>
        <w:rPr>
          <w:rFonts w:ascii="Times New Roman" w:hAnsi="Times New Roman" w:cs="Times New Roman"/>
          <w:b/>
          <w:sz w:val="24"/>
          <w:szCs w:val="24"/>
          <w:lang w:val="en-US"/>
        </w:rPr>
      </w:pPr>
    </w:p>
    <w:p w14:paraId="6B97FEDC" w14:textId="77777777" w:rsidR="0083391F" w:rsidRDefault="0083391F" w:rsidP="0083391F">
      <w:pPr>
        <w:rPr>
          <w:rFonts w:ascii="Times New Roman" w:hAnsi="Times New Roman" w:cs="Times New Roman"/>
          <w:b/>
          <w:sz w:val="24"/>
          <w:szCs w:val="24"/>
          <w:lang w:val="en-US"/>
        </w:rPr>
      </w:pPr>
      <w:r w:rsidRPr="0083391F">
        <w:rPr>
          <w:rFonts w:ascii="Times New Roman" w:hAnsi="Times New Roman" w:cs="Times New Roman"/>
          <w:b/>
          <w:sz w:val="24"/>
          <w:szCs w:val="24"/>
          <w:lang w:val="en-US"/>
        </w:rPr>
        <w:t>RESUMO</w:t>
      </w:r>
    </w:p>
    <w:p w14:paraId="41191CDB" w14:textId="77777777" w:rsidR="009A7466" w:rsidRDefault="009A7466" w:rsidP="002B71D2">
      <w:pPr>
        <w:spacing w:line="240" w:lineRule="auto"/>
        <w:rPr>
          <w:rFonts w:ascii="Times New Roman" w:hAnsi="Times New Roman" w:cs="Times New Roman"/>
          <w:sz w:val="24"/>
          <w:szCs w:val="24"/>
        </w:rPr>
      </w:pPr>
      <w:r w:rsidRPr="009A7466">
        <w:rPr>
          <w:rFonts w:ascii="Times New Roman" w:hAnsi="Times New Roman" w:cs="Times New Roman"/>
          <w:sz w:val="24"/>
          <w:szCs w:val="24"/>
        </w:rPr>
        <w:t>Este trabalho tem como objetivo geral identificar indica</w:t>
      </w:r>
      <w:r w:rsidR="002B71D2">
        <w:rPr>
          <w:rFonts w:ascii="Times New Roman" w:hAnsi="Times New Roman" w:cs="Times New Roman"/>
          <w:sz w:val="24"/>
          <w:szCs w:val="24"/>
        </w:rPr>
        <w:t>dores de sustentabilidade social</w:t>
      </w:r>
      <w:r w:rsidRPr="009A7466">
        <w:rPr>
          <w:rFonts w:ascii="Times New Roman" w:hAnsi="Times New Roman" w:cs="Times New Roman"/>
          <w:sz w:val="24"/>
          <w:szCs w:val="24"/>
        </w:rPr>
        <w:t xml:space="preserve"> aplicáveis em construtoras de edificações de grande e médio porte na Regiã</w:t>
      </w:r>
      <w:r w:rsidR="002B71D2">
        <w:rPr>
          <w:rFonts w:ascii="Times New Roman" w:hAnsi="Times New Roman" w:cs="Times New Roman"/>
          <w:sz w:val="24"/>
          <w:szCs w:val="24"/>
        </w:rPr>
        <w:t>o Metropolitana do Recife</w:t>
      </w:r>
      <w:r w:rsidRPr="009A7466">
        <w:rPr>
          <w:rFonts w:ascii="Times New Roman" w:hAnsi="Times New Roman" w:cs="Times New Roman"/>
          <w:sz w:val="24"/>
          <w:szCs w:val="24"/>
        </w:rPr>
        <w:t>. Esta pesqu</w:t>
      </w:r>
      <w:r w:rsidR="001E61DD">
        <w:rPr>
          <w:rFonts w:ascii="Times New Roman" w:hAnsi="Times New Roman" w:cs="Times New Roman"/>
          <w:sz w:val="24"/>
          <w:szCs w:val="24"/>
        </w:rPr>
        <w:t>isa possui caráter exploratório</w:t>
      </w:r>
      <w:r w:rsidRPr="009A7466">
        <w:rPr>
          <w:rFonts w:ascii="Times New Roman" w:hAnsi="Times New Roman" w:cs="Times New Roman"/>
          <w:sz w:val="24"/>
          <w:szCs w:val="24"/>
        </w:rPr>
        <w:t xml:space="preserve"> e seus resultados </w:t>
      </w:r>
      <w:r>
        <w:rPr>
          <w:rFonts w:ascii="Times New Roman" w:hAnsi="Times New Roman" w:cs="Times New Roman"/>
          <w:sz w:val="24"/>
          <w:szCs w:val="24"/>
        </w:rPr>
        <w:t>foram</w:t>
      </w:r>
      <w:r w:rsidRPr="009A7466">
        <w:rPr>
          <w:rFonts w:ascii="Times New Roman" w:hAnsi="Times New Roman" w:cs="Times New Roman"/>
          <w:sz w:val="24"/>
          <w:szCs w:val="24"/>
        </w:rPr>
        <w:t xml:space="preserve"> obtidos por levantamento de dados, através de entrevistas semiestruturadas. </w:t>
      </w:r>
      <w:r w:rsidR="002B71D2">
        <w:rPr>
          <w:rFonts w:ascii="Times New Roman" w:hAnsi="Times New Roman" w:cs="Times New Roman"/>
          <w:sz w:val="24"/>
          <w:szCs w:val="24"/>
        </w:rPr>
        <w:t>Dessas entrevistas</w:t>
      </w:r>
      <w:r w:rsidRPr="009A7466">
        <w:rPr>
          <w:rFonts w:ascii="Times New Roman" w:hAnsi="Times New Roman" w:cs="Times New Roman"/>
          <w:sz w:val="24"/>
          <w:szCs w:val="24"/>
        </w:rPr>
        <w:t xml:space="preserve"> detectou-se uma conscientização em relação ao nível de importância dos indicadores sociais selecionados, no entanto, de uma maneira geral, eles ainda não são influentes nas tomadas de decisões da</w:t>
      </w:r>
      <w:r w:rsidR="001E61DD">
        <w:rPr>
          <w:rFonts w:ascii="Times New Roman" w:hAnsi="Times New Roman" w:cs="Times New Roman"/>
          <w:sz w:val="24"/>
          <w:szCs w:val="24"/>
        </w:rPr>
        <w:t>s</w:t>
      </w:r>
      <w:r w:rsidRPr="009A7466">
        <w:rPr>
          <w:rFonts w:ascii="Times New Roman" w:hAnsi="Times New Roman" w:cs="Times New Roman"/>
          <w:sz w:val="24"/>
          <w:szCs w:val="24"/>
        </w:rPr>
        <w:t xml:space="preserve"> empresa</w:t>
      </w:r>
      <w:r w:rsidR="001E61DD">
        <w:rPr>
          <w:rFonts w:ascii="Times New Roman" w:hAnsi="Times New Roman" w:cs="Times New Roman"/>
          <w:sz w:val="24"/>
          <w:szCs w:val="24"/>
        </w:rPr>
        <w:t>s</w:t>
      </w:r>
      <w:r w:rsidRPr="009A7466">
        <w:rPr>
          <w:rFonts w:ascii="Times New Roman" w:hAnsi="Times New Roman" w:cs="Times New Roman"/>
          <w:sz w:val="24"/>
          <w:szCs w:val="24"/>
        </w:rPr>
        <w:t xml:space="preserve"> na mesma proporção de seus níveis de imp</w:t>
      </w:r>
      <w:r w:rsidR="00C019D8">
        <w:rPr>
          <w:rFonts w:ascii="Times New Roman" w:hAnsi="Times New Roman" w:cs="Times New Roman"/>
          <w:sz w:val="24"/>
          <w:szCs w:val="24"/>
        </w:rPr>
        <w:t>ortância</w:t>
      </w:r>
      <w:r w:rsidR="001E61DD">
        <w:rPr>
          <w:rFonts w:ascii="Times New Roman" w:hAnsi="Times New Roman" w:cs="Times New Roman"/>
          <w:sz w:val="24"/>
          <w:szCs w:val="24"/>
        </w:rPr>
        <w:t>. Destacaram-se</w:t>
      </w:r>
      <w:r w:rsidRPr="009A7466">
        <w:rPr>
          <w:rFonts w:ascii="Times New Roman" w:hAnsi="Times New Roman" w:cs="Times New Roman"/>
          <w:sz w:val="24"/>
          <w:szCs w:val="24"/>
        </w:rPr>
        <w:t xml:space="preserve"> os indicadores relativos à não discriminação e ao uso de trabalho infantil </w:t>
      </w:r>
      <w:r w:rsidR="002B71D2">
        <w:rPr>
          <w:rFonts w:ascii="Times New Roman" w:hAnsi="Times New Roman" w:cs="Times New Roman"/>
          <w:sz w:val="24"/>
          <w:szCs w:val="24"/>
        </w:rPr>
        <w:t>ou forçado</w:t>
      </w:r>
      <w:r w:rsidRPr="009A7466">
        <w:rPr>
          <w:rFonts w:ascii="Times New Roman" w:hAnsi="Times New Roman" w:cs="Times New Roman"/>
          <w:sz w:val="24"/>
          <w:szCs w:val="24"/>
        </w:rPr>
        <w:t xml:space="preserve">, que apesar da importância reconhecida, são poucos influentes nas decisões, </w:t>
      </w:r>
      <w:r w:rsidR="002B71D2">
        <w:rPr>
          <w:rFonts w:ascii="Times New Roman" w:hAnsi="Times New Roman" w:cs="Times New Roman"/>
          <w:sz w:val="24"/>
          <w:szCs w:val="24"/>
        </w:rPr>
        <w:t>no entanto</w:t>
      </w:r>
      <w:r w:rsidRPr="009A7466">
        <w:rPr>
          <w:rFonts w:ascii="Times New Roman" w:hAnsi="Times New Roman" w:cs="Times New Roman"/>
          <w:sz w:val="24"/>
          <w:szCs w:val="24"/>
        </w:rPr>
        <w:t xml:space="preserve"> </w:t>
      </w:r>
      <w:r w:rsidR="002B71D2">
        <w:rPr>
          <w:rFonts w:ascii="Times New Roman" w:hAnsi="Times New Roman" w:cs="Times New Roman"/>
          <w:sz w:val="24"/>
          <w:szCs w:val="24"/>
        </w:rPr>
        <w:t>são considerados de fácil</w:t>
      </w:r>
      <w:r w:rsidRPr="009A7466">
        <w:rPr>
          <w:rFonts w:ascii="Times New Roman" w:hAnsi="Times New Roman" w:cs="Times New Roman"/>
          <w:sz w:val="24"/>
          <w:szCs w:val="24"/>
        </w:rPr>
        <w:t xml:space="preserve"> obtenção. Sendo assim, </w:t>
      </w:r>
      <w:r w:rsidR="00C019D8">
        <w:rPr>
          <w:rFonts w:ascii="Times New Roman" w:hAnsi="Times New Roman" w:cs="Times New Roman"/>
          <w:sz w:val="24"/>
          <w:szCs w:val="24"/>
        </w:rPr>
        <w:t>esta pesquisa disponibiliza indicadores aplicáveis à realidade local</w:t>
      </w:r>
      <w:r w:rsidRPr="009A7466">
        <w:rPr>
          <w:rFonts w:ascii="Times New Roman" w:hAnsi="Times New Roman" w:cs="Times New Roman"/>
          <w:sz w:val="24"/>
          <w:szCs w:val="24"/>
        </w:rPr>
        <w:t xml:space="preserve">, </w:t>
      </w:r>
      <w:r w:rsidR="001E61DD">
        <w:rPr>
          <w:rFonts w:ascii="Times New Roman" w:hAnsi="Times New Roman" w:cs="Times New Roman"/>
          <w:sz w:val="24"/>
          <w:szCs w:val="24"/>
        </w:rPr>
        <w:t>facilitando tomadas de decisões</w:t>
      </w:r>
      <w:r w:rsidRPr="009A7466">
        <w:rPr>
          <w:rFonts w:ascii="Times New Roman" w:hAnsi="Times New Roman" w:cs="Times New Roman"/>
          <w:sz w:val="24"/>
          <w:szCs w:val="24"/>
        </w:rPr>
        <w:t xml:space="preserve"> comprometidas com o aspecto social da sustentabilidade.</w:t>
      </w:r>
    </w:p>
    <w:p w14:paraId="7B74DCCA" w14:textId="77777777" w:rsidR="00C019D8" w:rsidRPr="009A7466" w:rsidRDefault="00C019D8" w:rsidP="002B71D2">
      <w:pPr>
        <w:spacing w:line="240" w:lineRule="auto"/>
        <w:rPr>
          <w:rFonts w:ascii="Times New Roman" w:hAnsi="Times New Roman" w:cs="Times New Roman"/>
          <w:sz w:val="24"/>
          <w:szCs w:val="24"/>
        </w:rPr>
      </w:pPr>
    </w:p>
    <w:p w14:paraId="4D472C6A" w14:textId="77777777" w:rsidR="0083391F" w:rsidRPr="001E61DD" w:rsidRDefault="0083391F" w:rsidP="00C019D8">
      <w:pPr>
        <w:spacing w:line="240" w:lineRule="auto"/>
        <w:rPr>
          <w:rFonts w:ascii="Times New Roman" w:hAnsi="Times New Roman" w:cs="Times New Roman"/>
          <w:b/>
          <w:sz w:val="24"/>
          <w:szCs w:val="24"/>
          <w:lang w:val="en-US"/>
        </w:rPr>
      </w:pPr>
      <w:r>
        <w:rPr>
          <w:rFonts w:ascii="Times New Roman" w:hAnsi="Times New Roman" w:cs="Times New Roman"/>
          <w:b/>
          <w:sz w:val="24"/>
          <w:szCs w:val="24"/>
        </w:rPr>
        <w:t>PALAVRAS-CHAVE:</w:t>
      </w:r>
      <w:r w:rsidR="00C019D8">
        <w:rPr>
          <w:rFonts w:ascii="Times New Roman" w:hAnsi="Times New Roman" w:cs="Times New Roman"/>
          <w:b/>
          <w:sz w:val="24"/>
          <w:szCs w:val="24"/>
        </w:rPr>
        <w:t xml:space="preserve"> </w:t>
      </w:r>
      <w:r w:rsidR="00C019D8" w:rsidRPr="00C019D8">
        <w:rPr>
          <w:rFonts w:ascii="Times New Roman" w:hAnsi="Times New Roman" w:cs="Times New Roman"/>
          <w:sz w:val="24"/>
          <w:szCs w:val="24"/>
        </w:rPr>
        <w:t xml:space="preserve">Sustentabilidade social. Indicadores de sustentabilidade. </w:t>
      </w:r>
      <w:r w:rsidR="00C019D8" w:rsidRPr="001E61DD">
        <w:rPr>
          <w:rFonts w:ascii="Times New Roman" w:hAnsi="Times New Roman" w:cs="Times New Roman"/>
          <w:sz w:val="24"/>
          <w:szCs w:val="24"/>
          <w:lang w:val="en-US"/>
        </w:rPr>
        <w:t>Construção Civil. Edificações.</w:t>
      </w:r>
    </w:p>
    <w:p w14:paraId="3E7FC23D" w14:textId="77777777" w:rsidR="00C019D8" w:rsidRPr="001E61DD" w:rsidRDefault="00C019D8" w:rsidP="0083391F">
      <w:pPr>
        <w:rPr>
          <w:rFonts w:ascii="Times New Roman" w:hAnsi="Times New Roman" w:cs="Times New Roman"/>
          <w:b/>
          <w:sz w:val="24"/>
          <w:szCs w:val="24"/>
          <w:lang w:val="en-US"/>
        </w:rPr>
      </w:pPr>
    </w:p>
    <w:p w14:paraId="464B6EEF" w14:textId="77777777" w:rsidR="0083391F" w:rsidRPr="00C019D8" w:rsidRDefault="0083391F" w:rsidP="0083391F">
      <w:pPr>
        <w:rPr>
          <w:rFonts w:ascii="Times New Roman" w:hAnsi="Times New Roman" w:cs="Times New Roman"/>
          <w:b/>
          <w:sz w:val="24"/>
          <w:szCs w:val="24"/>
          <w:lang w:val="en-US"/>
        </w:rPr>
      </w:pPr>
      <w:r w:rsidRPr="00C019D8">
        <w:rPr>
          <w:rFonts w:ascii="Times New Roman" w:hAnsi="Times New Roman" w:cs="Times New Roman"/>
          <w:b/>
          <w:sz w:val="24"/>
          <w:szCs w:val="24"/>
          <w:lang w:val="en-US"/>
        </w:rPr>
        <w:t>ABSTRACT</w:t>
      </w:r>
    </w:p>
    <w:p w14:paraId="56EB9952" w14:textId="77777777" w:rsidR="00C019D8" w:rsidRDefault="00C019D8" w:rsidP="00C019D8">
      <w:pPr>
        <w:spacing w:line="240" w:lineRule="auto"/>
        <w:rPr>
          <w:rFonts w:ascii="Times New Roman" w:hAnsi="Times New Roman" w:cs="Times New Roman"/>
          <w:sz w:val="24"/>
          <w:szCs w:val="24"/>
          <w:lang w:val="en-US"/>
        </w:rPr>
      </w:pPr>
      <w:r w:rsidRPr="001E61DD">
        <w:rPr>
          <w:rFonts w:ascii="Times New Roman" w:hAnsi="Times New Roman" w:cs="Times New Roman"/>
          <w:sz w:val="24"/>
          <w:szCs w:val="24"/>
          <w:lang w:val="en-US"/>
        </w:rPr>
        <w:t xml:space="preserve">The objective of this work is to identify social sustainability indicators applicable to large and medium-sized construction companies in the metropolitan region of Recife. This research has exploratory character, and its results were obtained by data collection, through semi-structured interviews. From these interviews, an awareness of the level of importance of the selected social indicators was detected, however, in general, they are not yet influential in the company's decision making in the same proportion of their importance levels. Also noteworthy are the indicators related to non-discrimination and the use of child or forced labor, which, despite their acknowledged importance, have little </w:t>
      </w:r>
      <w:r w:rsidRPr="00C019D8">
        <w:rPr>
          <w:rFonts w:ascii="Times New Roman" w:hAnsi="Times New Roman" w:cs="Times New Roman"/>
          <w:sz w:val="24"/>
          <w:szCs w:val="24"/>
          <w:lang w:val="en-US"/>
        </w:rPr>
        <w:t>influence on decisions, but are considered easily obtainable. Thus, this research provides indicators applicable to the local reality, making companies more committed to the social aspect of sustainability.</w:t>
      </w:r>
    </w:p>
    <w:p w14:paraId="2765B81B" w14:textId="77777777" w:rsidR="00C019D8" w:rsidRPr="001E61DD" w:rsidRDefault="00C019D8" w:rsidP="00C019D8">
      <w:pPr>
        <w:spacing w:line="240" w:lineRule="auto"/>
        <w:rPr>
          <w:rFonts w:ascii="Times New Roman" w:hAnsi="Times New Roman" w:cs="Times New Roman"/>
          <w:sz w:val="24"/>
          <w:szCs w:val="24"/>
          <w:lang w:val="en-US"/>
        </w:rPr>
      </w:pPr>
    </w:p>
    <w:p w14:paraId="0454AB12" w14:textId="77777777" w:rsidR="0083391F" w:rsidRPr="004F1878" w:rsidRDefault="0083391F" w:rsidP="00C019D8">
      <w:pPr>
        <w:spacing w:line="240" w:lineRule="auto"/>
        <w:rPr>
          <w:rFonts w:ascii="Times New Roman" w:hAnsi="Times New Roman" w:cs="Times New Roman"/>
          <w:b/>
          <w:sz w:val="24"/>
          <w:szCs w:val="24"/>
        </w:rPr>
      </w:pPr>
      <w:r w:rsidRPr="00C019D8">
        <w:rPr>
          <w:rFonts w:ascii="Times New Roman" w:hAnsi="Times New Roman" w:cs="Times New Roman"/>
          <w:b/>
          <w:sz w:val="24"/>
          <w:szCs w:val="24"/>
          <w:lang w:val="en-US"/>
        </w:rPr>
        <w:t>KEYWORDS</w:t>
      </w:r>
      <w:r w:rsidR="00C019D8">
        <w:rPr>
          <w:rFonts w:ascii="Times New Roman" w:hAnsi="Times New Roman" w:cs="Times New Roman"/>
          <w:b/>
          <w:sz w:val="24"/>
          <w:szCs w:val="24"/>
          <w:lang w:val="en-US"/>
        </w:rPr>
        <w:t xml:space="preserve">: </w:t>
      </w:r>
      <w:r w:rsidR="00C019D8" w:rsidRPr="001E61DD">
        <w:rPr>
          <w:rFonts w:ascii="Times New Roman" w:hAnsi="Times New Roman" w:cs="Times New Roman"/>
          <w:sz w:val="24"/>
          <w:szCs w:val="24"/>
          <w:lang w:val="en-US"/>
        </w:rPr>
        <w:t xml:space="preserve">Social sustainability. Sustainability indicators. </w:t>
      </w:r>
      <w:r w:rsidR="00C019D8" w:rsidRPr="00C019D8">
        <w:rPr>
          <w:rFonts w:ascii="Times New Roman" w:hAnsi="Times New Roman" w:cs="Times New Roman"/>
          <w:sz w:val="24"/>
          <w:szCs w:val="24"/>
        </w:rPr>
        <w:t>Construction. Buildings.</w:t>
      </w:r>
    </w:p>
    <w:p w14:paraId="3F337B0D" w14:textId="77777777" w:rsidR="00436224" w:rsidRDefault="00436224" w:rsidP="00436224">
      <w:pPr>
        <w:rPr>
          <w:rFonts w:ascii="Times New Roman" w:hAnsi="Times New Roman" w:cs="Times New Roman"/>
          <w:b/>
          <w:sz w:val="24"/>
          <w:szCs w:val="24"/>
        </w:rPr>
      </w:pPr>
      <w:r>
        <w:rPr>
          <w:rFonts w:ascii="Times New Roman" w:hAnsi="Times New Roman" w:cs="Times New Roman"/>
          <w:b/>
          <w:sz w:val="24"/>
          <w:szCs w:val="24"/>
        </w:rPr>
        <w:lastRenderedPageBreak/>
        <w:t>INTRODUÇÃO</w:t>
      </w:r>
    </w:p>
    <w:p w14:paraId="35046D54" w14:textId="11EF0A2F" w:rsidR="00576930" w:rsidRDefault="00576930" w:rsidP="001E61DD">
      <w:pPr>
        <w:rPr>
          <w:rFonts w:ascii="Times New Roman" w:hAnsi="Times New Roman" w:cs="Times New Roman"/>
          <w:sz w:val="24"/>
          <w:szCs w:val="24"/>
        </w:rPr>
      </w:pPr>
      <w:r w:rsidRPr="004F1878">
        <w:rPr>
          <w:rFonts w:ascii="Times New Roman" w:hAnsi="Times New Roman" w:cs="Times New Roman"/>
          <w:sz w:val="24"/>
          <w:szCs w:val="24"/>
        </w:rPr>
        <w:t xml:space="preserve">A indústria da construção civil é uma das muitas que devem utilizar práticas de responsabilidade social. Ainda mais, é reconhecida como um dos principais e mais importantes setores industriais do mundo, representando dentre cinco e sete por cento do produto interno bruto na maioria dos países, justificando mais ainda a importância de considerar os fatores sociais nesse setor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{"citationItems":[{"id":"ITEM-1","itemData":{"author":[{"dropping-particle":"","family":"Kenny","given":"Charles","non-dropping-particle":"","parse-names":false,"suffix":""}],"container-title":"World Bank Policy Research","id":"ITEM-1","issued":{"date-parts":[["2007"]]},"title":"Construction, Corruption, and Developing Countries","type":"article-journal","volume":"Working Pa"},"uris":["http://www.mendeley.com/documents/?uuid=a8776a4f-a568-412f-8e70-611375d9a84c"]}],"mendeley":{"formattedCitation":"(KENNY, 2007)","plainTextFormattedCitation":"(KENNY, 2007)","previouslyFormattedCitation":"(KENNY, 2007)"},"properties":{"noteIndex":0},"schema":"https://github.com/citation-style-language/schema/raw/master/csl-citation.json"}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(KENNY, 2007)</w:t>
      </w:r>
      <w:r w:rsidR="005E03C0">
        <w:rPr>
          <w:rFonts w:ascii="Times New Roman" w:hAnsi="Times New Roman" w:cs="Times New Roman"/>
          <w:sz w:val="24"/>
          <w:szCs w:val="24"/>
        </w:rPr>
        <w:fldChar w:fldCharType="end"/>
      </w:r>
      <w:r w:rsidRPr="004F1878">
        <w:rPr>
          <w:rFonts w:ascii="Times New Roman" w:hAnsi="Times New Roman" w:cs="Times New Roman"/>
          <w:sz w:val="24"/>
          <w:szCs w:val="24"/>
        </w:rPr>
        <w:t>.</w:t>
      </w:r>
    </w:p>
    <w:p w14:paraId="05E2ED8F" w14:textId="33C92F54" w:rsidR="001E61DD" w:rsidRDefault="001E61DD" w:rsidP="001E61DD">
      <w:pPr>
        <w:rPr>
          <w:rFonts w:ascii="Times New Roman" w:hAnsi="Times New Roman" w:cs="Times New Roman"/>
          <w:sz w:val="24"/>
          <w:szCs w:val="24"/>
        </w:rPr>
      </w:pPr>
      <w:r w:rsidRPr="001E61DD">
        <w:rPr>
          <w:rFonts w:ascii="Times New Roman" w:hAnsi="Times New Roman" w:cs="Times New Roman"/>
          <w:sz w:val="24"/>
          <w:szCs w:val="24"/>
        </w:rPr>
        <w:t xml:space="preserve">No entanto, a indústria da construção tende a ter uma reputação de baixa qualidade de serviço, e um histórico de quebra de promessas contratuais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{"citationItems":[{"id":"ITEM-1","itemData":{"DOI":"10.1111/1467-8608.00254","ISSN":"0962-8770","abstract":"As inter-organisational relations represent an increasingly important element in business the ability to build sustainable relationships becomes a key skill. To achieve sustainable relationships parties need to move from a low trust/low ethics base to a high trust/high ethics base in their relating. This paper uses data from a study into trust-based partnering in the construction industry to demonstrate that ethics is integral to trust building. The data supports the proposition that ethical partnering, which is characterised by reliability, delivery of promises, open and honest communications, respect and reciprocity, and a willingness to act reasonably towards each other, is the most effective model for parties seeking to build sustainable relationships.","author":[{"dropping-particle":"","family":"Wood","given":"Graham","non-dropping-particle":"","parse-names":false,"suffix":""},{"dropping-particle":"","family":"McDermott","given":"Peter","non-dropping-particle":"","parse-names":false,"suffix":""},{"dropping-particle":"","family":"Swan","given":"Will","non-dropping-particle":"","parse-names":false,"suffix":""}],"container-title":"Business Ethics: A European Review","id":"ITEM-1","issue":"1","issued":{"date-parts":[["2002"]]},"page":"4-13","title":"The ethical benefits of trust</w:instrText>
      </w:r>
      <w:r w:rsidR="005E03C0">
        <w:rPr>
          <w:rFonts w:ascii="Cambria Math" w:hAnsi="Cambria Math" w:cs="Cambria Math"/>
          <w:sz w:val="24"/>
          <w:szCs w:val="24"/>
        </w:rPr>
        <w:instrText>‐</w:instrText>
      </w:r>
      <w:r w:rsidR="005E03C0">
        <w:rPr>
          <w:rFonts w:ascii="Times New Roman" w:hAnsi="Times New Roman" w:cs="Times New Roman"/>
          <w:sz w:val="24"/>
          <w:szCs w:val="24"/>
        </w:rPr>
        <w:instrText>based partnering: the example of the construction industry","type":"article-journal","volume":"11"},"uris":["http://www.mendeley.com/documents/?uuid=1a5db3d8-2fe3-41b4-865e-a7075963bc16"]}],"mendeley":{"formattedCitation":"(WOOD; MCDERMOTT; SWAN, 2002)","plainTextFormattedCitation":"(WOOD; MCDERMOTT; SWAN, 2002)","previouslyFormattedCitation":"(WOOD; MCDERMOTT; SWAN, 2002)"},"properties":{"noteIndex":0},"schema":"https://github.com/citation-style-language/schema/raw/master/csl-citation.json"}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(WOOD; MCDERMOTT; SWAN, 2002)</w:t>
      </w:r>
      <w:r w:rsidR="005E03C0">
        <w:rPr>
          <w:rFonts w:ascii="Times New Roman" w:hAnsi="Times New Roman" w:cs="Times New Roman"/>
          <w:sz w:val="24"/>
          <w:szCs w:val="24"/>
        </w:rPr>
        <w:fldChar w:fldCharType="end"/>
      </w:r>
      <w:r w:rsidRPr="001E61DD">
        <w:rPr>
          <w:rFonts w:ascii="Times New Roman" w:hAnsi="Times New Roman" w:cs="Times New Roman"/>
          <w:sz w:val="24"/>
          <w:szCs w:val="24"/>
        </w:rPr>
        <w:t>. Além disso, a construção civil é responsável por, aproximadamente, dezessete por cento de acidentes fatais ou, aproximadamente, 60.000 mortes por ano mundialmente (KENNY, 2007).</w:t>
      </w:r>
    </w:p>
    <w:p w14:paraId="6DC049B5" w14:textId="48CBCC99" w:rsidR="001E61DD" w:rsidRPr="001E61DD" w:rsidRDefault="001E61DD" w:rsidP="001E61DD">
      <w:pPr>
        <w:rPr>
          <w:rFonts w:ascii="Times New Roman" w:hAnsi="Times New Roman" w:cs="Times New Roman"/>
          <w:sz w:val="24"/>
          <w:szCs w:val="24"/>
        </w:rPr>
      </w:pPr>
      <w:r w:rsidRPr="001E61DD">
        <w:rPr>
          <w:rFonts w:ascii="Times New Roman" w:hAnsi="Times New Roman" w:cs="Times New Roman"/>
          <w:sz w:val="24"/>
          <w:szCs w:val="24"/>
        </w:rPr>
        <w:t xml:space="preserve">Na medida em que a indústria envolve processos de produção complexos e sem padronização que estimulam informações assimétricas entre clientes e fornecedores e em função das suas muitas ligações estreitas com o governo, não é surpresa que a construção seja frequentemente considerada como uma das indústrias mais corruptas mundialmente (KENNY, 2007). Juntamente com alguns outros setores que se caracterizam pelo trabalho intensivo, o setor da construção é associado com a sonegação de impostos e com problemas sociais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{"citationItems":[{"id":"ITEM-1","itemData":{"DOI":"10.1111/j.1467-8608.2004.00359.x","ISSN":"0962-8770","abstract":"The construction sector in the Netherlands was at the center of publicity during 2002. After a television program by Zembla on November 9, 2001, exposing a clearing system for construction companies that colluded in price offers for public works, the Dutch parliament installed in 2002 an investigation committee to research these practices. This article presents a case study of how top and middle managers of Heijmans, one of the most profitable Dutch companies mentioned in the program, perceived the usefulness of introducing a code of conduct and the kind of code of conduct they would prefer. It describes the efforts of the company to upgrade its ethical features, highlighting the processes that take place when companies change their procedures in reaction to negative publicity. The content of this paper is as follows. In the second section, the perception of Heijmans managers of the ethical standards of their company with respect to the competition in the months before the TV program. The third section discusses the ethics of collusion and why it is seen as harmful. The fourth section discusses the importance of a good reputation as a strategic intangible asset and how ethical behavior impacts upon it. The fifth section deals with the usefulness of a written code of conduct for Heijmans as a means of improving the implementation of values and its reputation. In the sixth section we identify some lessons from this study.","author":[{"dropping-particle":"","family":"Graafland","given":"Johan J.","non-dropping-particle":"","parse-names":false,"suffix":""}],"container-title":"Business Ethics: A European Review","id":"ITEM-1","issue":"2-3","issued":{"date-parts":[["2004"]]},"page":"127-142","title":"Collusion, reputation damage and interest in codes of conduct: the case of a Dutch construction company","type":"article-journal","volume":"13"},"uris":["http://www.mendeley.com/documents/?uuid=63971b46-bb79-4ca7-8e22-d8a740b28a07"]}],"mendeley":{"formattedCitation":"(GRAAFLAND, 2004)","plainTextFormattedCitation":"(GRAAFLAND, 2004)","previouslyFormattedCitation":"(GRAAFLAND, 2004)"},"properties":{"noteIndex":0},"schema":"https://github.com/citation-style-language/schema/raw/master/csl-citation.json"}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(GRAAFLAND, 2004)</w:t>
      </w:r>
      <w:r w:rsidR="005E03C0">
        <w:rPr>
          <w:rFonts w:ascii="Times New Roman" w:hAnsi="Times New Roman" w:cs="Times New Roman"/>
          <w:sz w:val="24"/>
          <w:szCs w:val="24"/>
        </w:rPr>
        <w:fldChar w:fldCharType="end"/>
      </w:r>
      <w:r w:rsidRPr="001E61DD">
        <w:rPr>
          <w:rFonts w:ascii="Times New Roman" w:hAnsi="Times New Roman" w:cs="Times New Roman"/>
          <w:sz w:val="24"/>
          <w:szCs w:val="24"/>
        </w:rPr>
        <w:t>.</w:t>
      </w:r>
    </w:p>
    <w:p w14:paraId="04D89EE4" w14:textId="229C9C29" w:rsidR="004F3A42" w:rsidRPr="004F3A42" w:rsidRDefault="004F3A42" w:rsidP="004F3A42">
      <w:pPr>
        <w:rPr>
          <w:rFonts w:ascii="Times New Roman" w:hAnsi="Times New Roman" w:cs="Times New Roman"/>
          <w:sz w:val="24"/>
          <w:szCs w:val="24"/>
        </w:rPr>
      </w:pPr>
      <w:r>
        <w:rPr>
          <w:rFonts w:ascii="Times New Roman" w:hAnsi="Times New Roman" w:cs="Times New Roman"/>
          <w:sz w:val="24"/>
          <w:szCs w:val="24"/>
        </w:rPr>
        <w:t xml:space="preserve">Portanto, observa-se há a necessidade de adotar-se um novo modelo de desenvolvimento para uma indústria de tamanha importância. </w:t>
      </w:r>
      <w:r w:rsidRPr="004F3A42">
        <w:rPr>
          <w:rFonts w:ascii="Times New Roman" w:hAnsi="Times New Roman" w:cs="Times New Roman"/>
          <w:sz w:val="24"/>
          <w:szCs w:val="24"/>
        </w:rPr>
        <w:t xml:space="preserve">Apesar de ser um tema contemporâneo, desde 1969, já há 50 anos atrás, o termo “desenvolvimento sustentável” já era definido como desenvolvimento econômico para gerações atuais e futuras que não compromete os recursos do planeta nem os organismos biológicos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{"citationItems":[{"id":"ITEM-1","itemData":{"abstract":"Purpose Sec. 2 [42 USC 4321]. The purposes of this Act are: To declare a national policy which will encourage productive and enjoyable harmony between man and his environment; to promote efforts which will prevent or eliminate damage to the environment and biosphere and stimulate the health and welfare of man; to enrich the understanding of the ecological systems and natural resources important to the Nation; and to establish a Council on Environmental Quality.","author":[{"dropping-particle":"","family":"US Congress","given":"","non-dropping-particle":"","parse-names":false,"suffix":""}],"container-title":"Bill","id":"ITEM-1","issued":{"date-parts":[["1969"]]},"page":"9","title":"National Environmental Policy Act of 1969 , as amended","type":"article-journal","volume":"4"},"uris":["http://www.mendeley.com/documents/?uuid=1cbf4186-555e-4f86-a5d9-3c4021eb4e4a"]}],"mendeley":{"formattedCitation":"(US CONGRESS, 1969)","plainTextFormattedCitation":"(US CONGRESS, 1969)","previouslyFormattedCitation":"(US CONGRESS, 1969)"},"properties":{"noteIndex":0},"schema":"https://github.com/citation-style-language/schema/raw/master/csl-citation.json"}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(US CONGRESS, 1969)</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w:t>
      </w:r>
    </w:p>
    <w:p w14:paraId="0554474E" w14:textId="45FB3487" w:rsidR="004F3A42" w:rsidRPr="004F3A42" w:rsidRDefault="004F3A42" w:rsidP="004F3A42">
      <w:pPr>
        <w:rPr>
          <w:rFonts w:ascii="Times New Roman" w:hAnsi="Times New Roman" w:cs="Times New Roman"/>
          <w:sz w:val="24"/>
          <w:szCs w:val="24"/>
        </w:rPr>
      </w:pPr>
      <w:r w:rsidRPr="004F3A42">
        <w:rPr>
          <w:rFonts w:ascii="Times New Roman" w:hAnsi="Times New Roman" w:cs="Times New Roman"/>
          <w:sz w:val="24"/>
          <w:szCs w:val="24"/>
        </w:rPr>
        <w:t xml:space="preserve">Pouco depois, em 1987, o famoso relatório de Brundtland ampliou a abrangência do termo, transformando-o em um termo mais qualitativo, complexo, multidimensional e intangível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{"citationItems":[{"id":"ITEM-1","itemData":{"DOI":"10.1061/(asce)co.1943-7862.0001099","ISSN":"0733-9364","abstract":"© 2015 American Society of Civil Engineers. To enhance concern for the social aspects of sustainability and to delineate the criteria to be considered at each stage of the lifecycle of an infrastructure, this paper aims to determine the relevance of a set of criteria that evaluate social sustainability throughout the lifecycle of a public civil infrastructure. This research presents the results of a case study applying the Delphi method to 24 Chilean experts consulted in a series of three rounds. In addition, binomial statistical tests and Kendall's coefficient were used to show the convergence of the experts. Thus, it was identified that of 36 initial criteria assessed at each stage of the lifecycle, the consideration of 20 is required at the design stage, 29 at the construction stage, 33 during operation, and 27 at demolition. T he most relevant criteria, per lifecycle stage, were Stakeholder Participation (design and demolition stages), External Local Population (design stage), Internal Human Resources (construction and demolition stages), Macro-Social Action of Socioenvironmental Activities (construction stage), and Macro-Social Action of Socioeconomic Activities (operation stage).","author":[{"dropping-particle":"","family":"Sierra","given":"Leonardo A.","non-dropping-particle":"","parse-names":false,"suffix":""},{"dropping-particle":"","family":"Pellicer","given":"Eugenio","non-dropping-particle":"","parse-names":false,"suffix":""},{"dropping-particle":"","family":"Yepes","given":"Víctor","non-dropping-particle":"","parse-names":false,"suffix":""}],"container-title":"Journal of Construction Engineering and Management","id":"ITEM-1","issue":"5","issued":{"date-parts":[["2015"]]},"page":"05015020","title":"Social Sustainability in the Lifecycle of Chilean Public Infrastructure","type":"article-journal","volume":"142"},"uris":["http://www.mendeley.com/documents/?uuid=fbbd4739-860b-4b49-8d89-d03174329137"]}],"mendeley":{"formattedCitation":"(SIERRA; PELLICER; YEPES, 2015)","plainTextFormattedCitation":"(SIERRA; PELLICER; YEPES, 2015)","previouslyFormattedCitation":"(SIERRA; PELLICER; YEPES, 2015)"},"properties":{"noteIndex":0},"schema":"https://github.com/citation-style-language/schema/raw/master/csl-citation.json"}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(SIERRA; PELLICER; YEPES, 2015)</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 xml:space="preserve">. Dessa maneira, o conceito de desenvolvimento sustentável transformou-se em um desenvolvimento que considera os aspectos econômicos, sociais e ambientais, sem comprometer a oportunidade de desenvolvimento das gerações futuras nem a vida no planeta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{"citationItems":[{"id":"ITEM-1","itemData":{"abstract":"World Commission on Environment and Development (UN). 1987. Report of Brundtland: “Our common future”. 318 p.","author":[{"dropping-particle":"","family":"ONU","given":"","non-dropping-particle":"","parse-names":false,"suffix":""}],"container-title":"World Commission on Environment and Development","id":"ITEM-1","issued":{"date-parts":[["1987"]]},"title":"Brutland Report: Our Common Future","type":"article-journal"},"uris":["http://www.mendeley.com/documents/?uuid=e77a4e2f-60b5-4f5f-9347-eb68303e81c8"]}],"mendeley":{"formattedCitation":"(ONU, 1987)","plainTextFormattedCitation":"(ONU, 1987)","previouslyFormattedCitation":"(ONU, 1987)"},"properties":{"noteIndex":0},"schema":"https://github.com/citation-style-language/schema/raw/master/csl-citation.json"}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(ONU, 1987)</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w:t>
      </w:r>
    </w:p>
    <w:p w14:paraId="0D4030D7" w14:textId="337F3A2E" w:rsidR="004F3A42" w:rsidRPr="004F3A42" w:rsidRDefault="004F3A42" w:rsidP="004F3A42">
      <w:pPr>
        <w:rPr>
          <w:rFonts w:ascii="Times New Roman" w:hAnsi="Times New Roman" w:cs="Times New Roman"/>
          <w:sz w:val="24"/>
          <w:szCs w:val="24"/>
        </w:rPr>
      </w:pPr>
      <w:r w:rsidRPr="004F3A42">
        <w:rPr>
          <w:rFonts w:ascii="Times New Roman" w:hAnsi="Times New Roman" w:cs="Times New Roman"/>
          <w:sz w:val="24"/>
          <w:szCs w:val="24"/>
        </w:rPr>
        <w:lastRenderedPageBreak/>
        <w:t xml:space="preserve">De acordo com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10.1108/eb014106","author":[{"dropping-particle":"","family":"Nijkamp","given":"P","non-dropping-particle":"","parse-names":false,"suffix":""},{"dropping-particle":"","family":"Soeteman","given":"Frits","non-dropping-particle":"","parse-names":false,"suffix":""}],"container-title":"International Journal of Social Economics","id":"ITEM-1","issued":{"date-parts":[["1988"]]},"title":"Ecologically Sustainable Economic Development: Key Issues for Strategic Environmental Management","type":"article-journal","volume":"15"},"uris":["http://www.mendeley.com/documents/?uuid=de849815-2b90-410b-8354-39d94f12d382"]}],"mendeley":{"formattedCitation":"(NIJKAMP; SOETEMAN, 1988)","manualFormatting":"Nijkamp e Soeteman (1988)","plainTextFormattedCitation":"(NIJKAMP; SOETEMAN, 1988)","previouslyFormattedCitation":"(NIJKAMP; SOETEMAN, 1988)"},"properties":{"noteIndex":0},"schema":"https://github.com/citation-style-language/schema/raw/master/csl-citation.json"}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Nijkamp</w:t>
      </w:r>
      <w:r w:rsidR="005E03C0">
        <w:rPr>
          <w:rFonts w:ascii="Times New Roman" w:hAnsi="Times New Roman" w:cs="Times New Roman"/>
          <w:noProof/>
          <w:sz w:val="24"/>
          <w:szCs w:val="24"/>
        </w:rPr>
        <w:t xml:space="preserve"> e</w:t>
      </w:r>
      <w:r w:rsidR="005E03C0" w:rsidRPr="005E03C0">
        <w:rPr>
          <w:rFonts w:ascii="Times New Roman" w:hAnsi="Times New Roman" w:cs="Times New Roman"/>
          <w:noProof/>
          <w:sz w:val="24"/>
          <w:szCs w:val="24"/>
        </w:rPr>
        <w:t xml:space="preserve"> Soeteman </w:t>
      </w:r>
      <w:r w:rsidR="005E03C0">
        <w:rPr>
          <w:rFonts w:ascii="Times New Roman" w:hAnsi="Times New Roman" w:cs="Times New Roman"/>
          <w:noProof/>
          <w:sz w:val="24"/>
          <w:szCs w:val="24"/>
        </w:rPr>
        <w:t>(</w:t>
      </w:r>
      <w:r w:rsidR="005E03C0" w:rsidRPr="005E03C0">
        <w:rPr>
          <w:rFonts w:ascii="Times New Roman" w:hAnsi="Times New Roman" w:cs="Times New Roman"/>
          <w:noProof/>
          <w:sz w:val="24"/>
          <w:szCs w:val="24"/>
        </w:rPr>
        <w:t>1988)</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 xml:space="preserve">, a sustentabilidade ambiental refere-se à habilidade do ecossistema em manter, ou melhorar, sua qualidade e alcançar uma situação estável à longo prazo, apesar das mudanças de curto prazo. </w:t>
      </w:r>
    </w:p>
    <w:p w14:paraId="729E4FBD" w14:textId="081ED98A" w:rsidR="004F3A42" w:rsidRPr="004F3A42" w:rsidRDefault="004F3A42" w:rsidP="004F3A42">
      <w:pPr>
        <w:rPr>
          <w:rFonts w:ascii="Times New Roman" w:hAnsi="Times New Roman" w:cs="Times New Roman"/>
          <w:sz w:val="24"/>
          <w:szCs w:val="24"/>
        </w:rPr>
      </w:pPr>
      <w:r w:rsidRPr="004F3A42">
        <w:rPr>
          <w:rFonts w:ascii="Times New Roman" w:hAnsi="Times New Roman" w:cs="Times New Roman"/>
          <w:sz w:val="24"/>
          <w:szCs w:val="24"/>
        </w:rPr>
        <w:t xml:space="preserve">Já a sustentabilidade econômica refere-se à um sistema de produção que satisfaça os níveis de consumo atual sem comprometer as necessidades futuras, levando em consideração as restrições ambientais e de custos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{"citationItems":[{"id":"ITEM-1","itemData":{"DOI":"10.1002/sd.3460030203","ISSN":"10991719","author":[{"dropping-particle":"","family":"Khan","given":"M. Adil","non-dropping-particle":"","parse-names":false,"suffix":""}],"container-title":"Sustainable Development","id":"ITEM-1","issue":"2","issued":{"date-parts":[["1995"]]},"page":"63-69","title":"Sustainable development: The key concepts, issues and implications. Keynote paper given at the international sustainable development research conference, 27–29 march 1995, Manchester, UK","type":"article-journal","volume":"3"},"uris":["http://www.mendeley.com/documents/?uuid=4c047fee-5d51-4590-a913-63f852c667c0"]}],"mendeley":{"formattedCitation":"(KHAN, 1995)","plainTextFormattedCitation":"(KHAN, 1995)","previouslyFormattedCitation":"(KHAN, 1995)"},"properties":{"noteIndex":0},"schema":"https://github.com/citation-style-language/schema/raw/master/csl-citation.json"}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(KHAN, 1995)</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 xml:space="preserve">. Mais recentemente,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{"citationItems":[{"id":"ITEM-1","itemData":{"abstract":"Sustainable development concepts revolving around policies of economic; environmental; and social have been widely discussed in a worldwide scale. The housing industry by nature is multi-faceted, consumes natural resources and produces impact on the natural environment. It constitutes to economic activities and impacts on the economy in such a way that it is an important component of social development and quality of life. Thus, sustainability issues should not be exempted in housing development as housing being the key ingredient of progress and governance.Creating sustainable housing development depends on the knowledge and involvement of all players in the industry. This paper attempts to identify the elements of sustainable development and subsequently chart the level of awareness and implementation of sustainable housing development based on the current practice by the construction key players. Key players being the Clients, Professionals and Contractors were approached to measure the persistence and awareness of the sustainable development issues by means of questionnaires. The findings of this paper identified and benchmarked the elements which are important towards creating a sustainable housing development. In future research, a survey combining both interviews and questionnaire could be extended to a larger sized respondents of house buyers and key respondents to acquire better sampling findings.","author":[{"dropping-particle":"","family":"Said","given":"Ilias","non-dropping-particle":"","parse-names":false,"suffix":""},{"dropping-particle":"","family":"Osman","given":"Omar","non-dropping-particle":"","parse-names":false,"suffix":""},{"dropping-particle":"","family":"Shafiei","given":"MM","non-dropping-particle":"","parse-names":false,"suffix":""}],"container-title":"The Journal of Global …","id":"ITEM-1","issue":"August","issued":{"date-parts":[["2009"]]},"title":"Sustainability in the Housing Development Among Construction Industry Players in Malaysia","type":"article-journal"},"uris":["http://www.mendeley.com/documents/?uuid=75587caa-fc84-4d0a-a312-3bb33fee1cb8"]}],"mendeley":{"formattedCitation":"(SAID; OSMAN; SHAFIEI, 2009)","manualFormatting":"Said, Osman e Shafiei (2009)","plainTextFormattedCitation":"(SAID; OSMAN; SHAFIEI, 2009)","previouslyFormattedCitation":"(SAID; OSMAN; SHAFIEI, 2009)"},"properties":{"noteIndex":0},"schema":"https://github.com/citation-style-language/schema/raw/master/csl-citation.json"}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Said</w:t>
      </w:r>
      <w:r w:rsidR="005E03C0">
        <w:rPr>
          <w:rFonts w:ascii="Times New Roman" w:hAnsi="Times New Roman" w:cs="Times New Roman"/>
          <w:noProof/>
          <w:sz w:val="24"/>
          <w:szCs w:val="24"/>
        </w:rPr>
        <w:t>,</w:t>
      </w:r>
      <w:r w:rsidR="005E03C0" w:rsidRPr="005E03C0">
        <w:rPr>
          <w:rFonts w:ascii="Times New Roman" w:hAnsi="Times New Roman" w:cs="Times New Roman"/>
          <w:noProof/>
          <w:sz w:val="24"/>
          <w:szCs w:val="24"/>
        </w:rPr>
        <w:t xml:space="preserve"> Osman</w:t>
      </w:r>
      <w:r w:rsidR="005E03C0">
        <w:rPr>
          <w:rFonts w:ascii="Times New Roman" w:hAnsi="Times New Roman" w:cs="Times New Roman"/>
          <w:noProof/>
          <w:sz w:val="24"/>
          <w:szCs w:val="24"/>
        </w:rPr>
        <w:t xml:space="preserve"> e</w:t>
      </w:r>
      <w:r w:rsidR="005E03C0" w:rsidRPr="005E03C0">
        <w:rPr>
          <w:rFonts w:ascii="Times New Roman" w:hAnsi="Times New Roman" w:cs="Times New Roman"/>
          <w:noProof/>
          <w:sz w:val="24"/>
          <w:szCs w:val="24"/>
        </w:rPr>
        <w:t xml:space="preserve"> Shafiei </w:t>
      </w:r>
      <w:r w:rsidR="005E03C0">
        <w:rPr>
          <w:rFonts w:ascii="Times New Roman" w:hAnsi="Times New Roman" w:cs="Times New Roman"/>
          <w:noProof/>
          <w:sz w:val="24"/>
          <w:szCs w:val="24"/>
        </w:rPr>
        <w:t>(</w:t>
      </w:r>
      <w:r w:rsidR="005E03C0" w:rsidRPr="005E03C0">
        <w:rPr>
          <w:rFonts w:ascii="Times New Roman" w:hAnsi="Times New Roman" w:cs="Times New Roman"/>
          <w:noProof/>
          <w:sz w:val="24"/>
          <w:szCs w:val="24"/>
        </w:rPr>
        <w:t>2009)</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 xml:space="preserve"> entendem sustentabilidade econômica como a busca para maximização do fluxo de renda, que pode gerar e manter o estoque de ativos, obtendo resultados benéficos.</w:t>
      </w:r>
    </w:p>
    <w:p w14:paraId="3E66093C" w14:textId="660F3F58" w:rsidR="004F3A42" w:rsidRDefault="004F3A42" w:rsidP="004F3A42">
      <w:pPr>
        <w:rPr>
          <w:rFonts w:ascii="Times New Roman" w:hAnsi="Times New Roman" w:cs="Times New Roman"/>
          <w:sz w:val="24"/>
          <w:szCs w:val="24"/>
        </w:rPr>
      </w:pPr>
      <w:r w:rsidRPr="004F3A42">
        <w:rPr>
          <w:rFonts w:ascii="Times New Roman" w:hAnsi="Times New Roman" w:cs="Times New Roman"/>
          <w:sz w:val="24"/>
          <w:szCs w:val="24"/>
        </w:rPr>
        <w:t xml:space="preserve">A sustentabilidade social já recebeu definições variadas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{"citationItems":[{"id":"ITEM-1","itemData":{"ISSN":"19853807","author":[{"dropping-particle":"","family":"Azmi","given":"Wan Nur Syuhadah Wan Mohd","non-dropping-particle":"","parse-names":false,"suffix":""},{"dropping-particle":"","family":"Rashid","given":"Zul Zakiyuddin Ahmad","non-dropping-particle":"","parse-names":false,"suffix":""},{"dropping-particle":"","family":"Adnan","given":"Hamimah","non-dropping-particle":"","parse-names":false,"suffix":""},{"dropping-particle":"","family":"Yusuwan","given":"Norazian Mohd","non-dropping-particle":"","parse-names":false,"suffix":""}],"container-title":"Malaysian Construction Research Journal","id":"ITEM-1","issue":"Special Issue 1","issued":{"date-parts":[["2018"]]},"title":"Housing Developer’s Perspective os Social Sustainability","type":"article-journal","volume":"3"},"uris":["http://www.mendeley.com/documents/?uuid=d6f52914-9bd4-4c07-8219-9d882dc34feb"]}],"mendeley":{"formattedCitation":"(AZMI et al., 2018)","plainTextFormattedCitation":"(AZMI et al., 2018)","previouslyFormattedCitation":"(AZMI et al., 2018)"},"properties":{"noteIndex":0},"schema":"https://github.com/citation-style-language/schema/raw/master/csl-citation.json"}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(AZMI et al., 2018)</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 xml:space="preserve">. Uma das definições mais populares é a que se refere ao enfoque ás pessoas, no sentido de manter e melhorar o bem-estar das pessoas nas futuras gerações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{"citationItems":[{"id":"ITEM-1","itemData":{"DOI":"10.1017/CBO9781107415324.004","ISBN":"9788578110796","ISSN":"1098-6596","PMID":"25246403","abstract":"International Union for Conservation of Nature and Natural Resources.","author":[{"dropping-particle":"","family":"Borrini-Feyerabend","given":"G.","non-dropping-particle":"","parse-names":false,"suffix":""}],"container-title":"PhD Proposal","id":"ITEM-1","issued":{"date-parts":[["1997"]]},"number-of-pages":"283","title":"Beyond Fences: Seeking Social Sustainability in Conservation","type":"book","volume":"1"},"uris":["http://www.mendeley.com/documents/?uuid=8ceb2167-50ba-468f-96d2-226f0be71061"]}],"mendeley":{"formattedCitation":"(BORRINI-FEYERABEND, 1997)","plainTextFormattedCitation":"(BORRINI-FEYERABEND, 1997)","previouslyFormattedCitation":"(BORRINI-FEYERABEND, 1997)"},"properties":{"noteIndex":0},"schema":"https://github.com/citation-style-language/schema/raw/master/csl-citation.json"}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(BORRINI-FEYERABEND, 1997)</w:t>
      </w:r>
      <w:r w:rsidR="005E03C0">
        <w:rPr>
          <w:rFonts w:ascii="Times New Roman" w:hAnsi="Times New Roman" w:cs="Times New Roman"/>
          <w:sz w:val="24"/>
          <w:szCs w:val="24"/>
        </w:rPr>
        <w:fldChar w:fldCharType="end"/>
      </w:r>
      <w:r w:rsidRPr="004F3A42">
        <w:rPr>
          <w:rFonts w:ascii="Times New Roman" w:hAnsi="Times New Roman" w:cs="Times New Roman"/>
          <w:sz w:val="24"/>
          <w:szCs w:val="24"/>
        </w:rPr>
        <w:t>.</w:t>
      </w:r>
    </w:p>
    <w:p w14:paraId="2D96CD85" w14:textId="77777777" w:rsidR="00373506" w:rsidRPr="00373506" w:rsidRDefault="00373506" w:rsidP="00373506">
      <w:pPr>
        <w:rPr>
          <w:rFonts w:ascii="Times New Roman" w:hAnsi="Times New Roman" w:cs="Times New Roman"/>
          <w:sz w:val="24"/>
          <w:szCs w:val="24"/>
        </w:rPr>
      </w:pPr>
      <w:r w:rsidRPr="00373506">
        <w:rPr>
          <w:rFonts w:ascii="Times New Roman" w:hAnsi="Times New Roman" w:cs="Times New Roman"/>
          <w:sz w:val="24"/>
          <w:szCs w:val="24"/>
        </w:rPr>
        <w:t>Objetiva-se com este trabalho identificar indicadores de sustentabilidade social aplicáveis às construtoras de edificações de grande e médio porte, com mais de 100 funcionários, na Região Metropolitana do Recife (RMR).</w:t>
      </w:r>
    </w:p>
    <w:p w14:paraId="48AE38B7" w14:textId="2013BB2F" w:rsidR="00373506" w:rsidRDefault="00373506" w:rsidP="00373506">
      <w:pPr>
        <w:rPr>
          <w:rFonts w:ascii="Times New Roman" w:hAnsi="Times New Roman" w:cs="Times New Roman"/>
          <w:sz w:val="24"/>
          <w:szCs w:val="24"/>
        </w:rPr>
      </w:pPr>
      <w:r w:rsidRPr="00373506">
        <w:rPr>
          <w:rFonts w:ascii="Times New Roman" w:hAnsi="Times New Roman" w:cs="Times New Roman"/>
          <w:sz w:val="24"/>
          <w:szCs w:val="24"/>
        </w:rPr>
        <w:t>Para tal, o trabalho foi estruturado com os seguintes objetivos específicos: Compilar e escolher o conceito de sustentabilidade que será aplicado neste estudo; compilar e selecionar indicadores sociais utilizados mundialmente para avaliação das empresas locais; levantar dados nas construtoras relativos às suas percepções de valor e status de coleta atual de cada um dos indicadores selecionados; e estabelecer priorização entre os indicadores previamente selecionados.</w:t>
      </w:r>
    </w:p>
    <w:p w14:paraId="3000BB6A" w14:textId="272293F9" w:rsidR="00373506" w:rsidRDefault="00373506" w:rsidP="00373506">
      <w:pPr>
        <w:rPr>
          <w:rFonts w:ascii="Times New Roman" w:hAnsi="Times New Roman" w:cs="Times New Roman"/>
          <w:sz w:val="24"/>
          <w:szCs w:val="24"/>
        </w:rPr>
      </w:pPr>
    </w:p>
    <w:p w14:paraId="74936F5A" w14:textId="121B235B" w:rsidR="00373506" w:rsidRPr="00373506" w:rsidRDefault="00373506" w:rsidP="00373506">
      <w:pPr>
        <w:rPr>
          <w:rFonts w:ascii="Times New Roman" w:hAnsi="Times New Roman" w:cs="Times New Roman"/>
          <w:b/>
          <w:sz w:val="24"/>
          <w:szCs w:val="24"/>
        </w:rPr>
      </w:pPr>
      <w:r w:rsidRPr="00373506">
        <w:rPr>
          <w:rFonts w:ascii="Times New Roman" w:hAnsi="Times New Roman" w:cs="Times New Roman"/>
          <w:b/>
          <w:sz w:val="24"/>
          <w:szCs w:val="24"/>
        </w:rPr>
        <w:t>ASPECTO SOCIAL DA SUSTENTABILIDADE</w:t>
      </w:r>
    </w:p>
    <w:p w14:paraId="6B7D1B23" w14:textId="321C6860" w:rsidR="00576930" w:rsidRDefault="00576930" w:rsidP="00576930">
      <w:pPr>
        <w:rPr>
          <w:rFonts w:ascii="Times New Roman" w:hAnsi="Times New Roman" w:cs="Times New Roman"/>
          <w:sz w:val="24"/>
          <w:szCs w:val="24"/>
        </w:rPr>
      </w:pPr>
      <w:r w:rsidRPr="00436224">
        <w:rPr>
          <w:rFonts w:ascii="Times New Roman" w:hAnsi="Times New Roman" w:cs="Times New Roman"/>
          <w:sz w:val="24"/>
          <w:szCs w:val="24"/>
        </w:rPr>
        <w:t xml:space="preserve">Apesar da grande influência das edificações no âmbito da sustentabilidade, o aspecto social tem sido negligenciado quando comparado com os econômicos e ambientais </w:t>
      </w:r>
      <w:r>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{"citationItems":[{"id":"ITEM-1","itemData":{"author":[{"dropping-particle":"","family":"KOHLMAN RABBANI","given":"EMILIA RAHNEMAY","non-dropping-particle":"","parse-names":false,"suffix":""},{"dropping-particle":"","family":"PEREIRA","given":"M. L.","non-dropping-particle":"","parse-names":false,"suffix":""},{"dropping-particle":"","family":"CRUZ","given":"E.N.","non-dropping-particle":"","parse-names":false,"suffix":""}],"container-title":"Sustentabilidade Urbana","edition":"1 ed.","id":"ITEM-1","issued":{"date-parts":[["2017"]]},"page":"61-84","publisher":"EDUPE","publisher-place":"Recife","title":"Sustentabilidade Social em Projetos de Construção","type":"chapter"},"uris":["http://www.mendeley.com/documents/?uuid=5a80fcdc-10ee-411d-994d-5dc7d9bbd750"]}],"mendeley":{"formattedCitation":"(KOHLMAN RABBANI; PEREIRA; CRUZ, 2017)","plainTextFormattedCitation":"(KOHLMAN RABBANI; PEREIRA; CRUZ, 2017)","previouslyFormattedCitation":"(KOHLMAN RABBANI; PEREIRA; CRUZ, 2017)"},"properties":{"noteIndex":0},"schema":"https://github.com/citation-style-language/schema/raw/master/csl-citation.json"}</w:instrText>
      </w:r>
      <w:r>
        <w:rPr>
          <w:rFonts w:ascii="Times New Roman" w:hAnsi="Times New Roman" w:cs="Times New Roman"/>
          <w:sz w:val="24"/>
          <w:szCs w:val="24"/>
        </w:rPr>
        <w:fldChar w:fldCharType="separate"/>
      </w:r>
      <w:r w:rsidRPr="002D2795">
        <w:rPr>
          <w:rFonts w:ascii="Times New Roman" w:hAnsi="Times New Roman" w:cs="Times New Roman"/>
          <w:noProof/>
          <w:sz w:val="24"/>
          <w:szCs w:val="24"/>
        </w:rPr>
        <w:t>(KOHLMAN RABBANI; PEREIRA; CRUZ, 2017)</w:t>
      </w:r>
      <w:r>
        <w:rPr>
          <w:rFonts w:ascii="Times New Roman" w:hAnsi="Times New Roman" w:cs="Times New Roman"/>
          <w:sz w:val="24"/>
          <w:szCs w:val="24"/>
        </w:rPr>
        <w:fldChar w:fldCharType="end"/>
      </w:r>
      <w:r w:rsidRPr="00436224">
        <w:rPr>
          <w:rFonts w:ascii="Times New Roman" w:hAnsi="Times New Roman" w:cs="Times New Roman"/>
          <w:sz w:val="24"/>
          <w:szCs w:val="24"/>
        </w:rPr>
        <w:t xml:space="preserve">. No entanto, o aspecto social é reconhecido como componente fundamental, pois aborda principalmente a combinação do espaço físico com enfoque na qualidade de vida dos intervenientes que interagem com a construção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{"citationItems":[{"id":"ITEM-1","itemData":{"ISSN":"19853807","author":[{"dropping-particle":"","family":"Azmi","given":"Wan Nur Syuhadah Wan Mohd","non-dropping-particle":"","parse-names":false,"suffix":""},{"dropping-particle":"","family":"Rashid","given":"Zul Zakiyuddin Ahmad","non-dropping-particle":"","parse-names":false,"suffix":""},{"dropping-particle":"","family":"Adnan","given":"Hamimah","non-dropping-particle":"","parse-names":false,"suffix":""},{"dropping-particle":"","family":"Yusuwan","given":"Norazian Mohd","non-dropping-particle":"","parse-names":false,"suffix":""}],"container-title":"Malaysian Construction Research Journal","id":"ITEM-1","issue":"Special Issue 1","issued":{"date-parts":[["2018"]]},"title":"Housing Developer’s Perspective os Social Sustainability","type":"article-journal","volume":"3"},"uris":["http://www.mendeley.com/documents/?uuid=d6f52914-9bd4-4c07-8219-9d882dc34feb"]}],"mendeley":{"formattedCitation":"(AZMI et al., 2018)","plainTextFormattedCitation":"(AZMI et al., 2018)","previouslyFormattedCitation":"(AZMI et al., 2018)"},"properties":{"noteIndex":0},"schema":"https://github.com/citation-style-language/schema/raw/master/csl-citation.json"}</w:instrText>
      </w:r>
      <w:r>
        <w:rPr>
          <w:rFonts w:ascii="Times New Roman" w:hAnsi="Times New Roman" w:cs="Times New Roman"/>
          <w:sz w:val="24"/>
          <w:szCs w:val="24"/>
        </w:rPr>
        <w:fldChar w:fldCharType="separate"/>
      </w:r>
      <w:r w:rsidRPr="002D2795">
        <w:rPr>
          <w:rFonts w:ascii="Times New Roman" w:hAnsi="Times New Roman" w:cs="Times New Roman"/>
          <w:noProof/>
          <w:sz w:val="24"/>
          <w:szCs w:val="24"/>
        </w:rPr>
        <w:t>(AZMI et al., 2018)</w:t>
      </w:r>
      <w:r>
        <w:rPr>
          <w:rFonts w:ascii="Times New Roman" w:hAnsi="Times New Roman" w:cs="Times New Roman"/>
          <w:sz w:val="24"/>
          <w:szCs w:val="24"/>
        </w:rPr>
        <w:fldChar w:fldCharType="end"/>
      </w:r>
      <w:r w:rsidRPr="00436224">
        <w:rPr>
          <w:rFonts w:ascii="Times New Roman" w:hAnsi="Times New Roman" w:cs="Times New Roman"/>
          <w:sz w:val="24"/>
          <w:szCs w:val="24"/>
        </w:rPr>
        <w:t>.</w:t>
      </w:r>
    </w:p>
    <w:p w14:paraId="3986ED79" w14:textId="77777777" w:rsidR="004F1878" w:rsidRDefault="004F1878" w:rsidP="004F1878">
      <w:pPr>
        <w:rPr>
          <w:rFonts w:ascii="Times New Roman" w:hAnsi="Times New Roman" w:cs="Times New Roman"/>
          <w:sz w:val="24"/>
          <w:szCs w:val="24"/>
        </w:rPr>
      </w:pPr>
      <w:r w:rsidRPr="0078005F">
        <w:rPr>
          <w:rFonts w:ascii="Times New Roman" w:hAnsi="Times New Roman" w:cs="Times New Roman"/>
          <w:sz w:val="24"/>
          <w:szCs w:val="24"/>
        </w:rPr>
        <w:lastRenderedPageBreak/>
        <w:t>As moradias são de extrema importância para o aspecto social. Os lares não podem ser considerados apenas como abrigo para os residentes, mas como uma necessidade social básica que pode fornecer uma melhora na qualidade de vida, distribuição de capital, empoderamento social, acessibilidade, identidade cultural e segurança. Portanto, sustentabilidade social nas habitações é de fundamental importância para sociedade (AZMI et al., 2018).</w:t>
      </w:r>
    </w:p>
    <w:p w14:paraId="08511A32" w14:textId="70D475F8" w:rsidR="004F1878" w:rsidRDefault="004F1878" w:rsidP="004F1878">
      <w:pPr>
        <w:rPr>
          <w:rFonts w:ascii="Times New Roman" w:hAnsi="Times New Roman" w:cs="Times New Roman"/>
          <w:sz w:val="24"/>
          <w:szCs w:val="24"/>
        </w:rPr>
      </w:pPr>
      <w:r w:rsidRPr="004F1878">
        <w:rPr>
          <w:rFonts w:ascii="Times New Roman" w:hAnsi="Times New Roman" w:cs="Times New Roman"/>
          <w:sz w:val="24"/>
          <w:szCs w:val="24"/>
        </w:rPr>
        <w:t xml:space="preserve">A não inclusão dos aspectos sociais nos empreendimentos estão associados a uma série de riscos, como comprometimento em alcançar os resultados adequados do projeto, a médio prazo, e possuir efeitos colaterais que podem pôr em risco a qualidade de vida das próximas gerações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{"citationItems":[{"id":"ITEM-1","itemData":{"DOI":"10.1007/s11367-013-0594-0","ISSN":"09483349","abstract":"Technologies can contribute to sustainable development (e.g., improving living conditions) and at the same time cause sustainability problems (e.g., emissions). Decisions on alternative technologies should thus ideally be based on the principle to minimize the latter. Analyzing environmental, economic, and social aspects related to technologies supports decisions by identifying the “more sustainable” technology. This paper focuses on social issues. First, it discusses the applicability of the social life cycle assessment (SLCA) guidelines for a comparative technology analysis, taking the example of two case studies in developing countries. Indicating technologies as “sustainable” also means that they are indeed operated over the expected lifetime, which, in development projects, is often not guaranteed. Consequently, social aspects related to implementation conditions should be considered in an SLCA study as well. Thus, a second focus is laid on identifying appropriate indicators to address these aspects.","author":[{"dropping-particle":"","family":"Lehmann","given":"Annekatrin","non-dropping-particle":"","parse-names":false,"suffix":""},{"dropping-particle":"","family":"Zschieschang","given":"Eva","non-dropping-particle":"","parse-names":false,"suffix":""},{"dropping-particle":"","family":"Traverso","given":"Marzia","non-dropping-particle":"","parse-names":false,"suffix":""},{"dropping-particle":"","family":"Finkbeiner","given":"Matthias","non-dropping-particle":"","parse-names":false,"suffix":""},{"dropping-particle":"","family":"Schebek","given":"Liselotte","non-dropping-particle":"","parse-names":false,"suffix":""}],"container-title":"International Journal of Life Cycle Assessment","id":"ITEM-1","issue":"8","issued":{"date-parts":[["2013"]]},"page":"1581-1592","title":"Social aspects for sustainability assessment of technologies - Challenges for social life cycle assessment (SLCA)","type":"article-journal","volume":"18"},"uris":["http://www.mendeley.com/documents/?uuid=c9055868-ac25-49f2-bce2-6b09214b3a1e"]},{"id":"ITEM-2","itemData":{"DOI":"10.1061/(asce)co.1943-7862.0000876","ISSN":"0733-9364","abstract":"Social and political dynamics increasingly determine the fate of infrastructure development around the world. Decision makers involved with projects such as the Keystone XL pipeline in North America, the Belo Monte Dam in Brazil, and the Bujagali Dam in Uganda have been forced to substantially change their plans as a result of opposition. This study looks at such emergent dynamics to provide a quantitative assessment of risks associated with social sustainability in infrastructure development. An interactional model is proposed to analyze emergent risks in a complex system of systems and it is applied to emergent risks in infrastructure development. The analysis is based on the game-theoretic equilibria for an interaction between two actors, namely, the developer and the opposition. Using simulation the structural and contextual variations were investigated in the context of the project along with consequent emergent patterns of outcomes and associated risk profiles. The model comprises informal and formal interactional stages to investigate the impact of alternative mitigation strategies on project risk. The application of the proposed methodology is showcased in an analysis of informal and formal strategies to deliver socially sustainable projects. © 2014 American Society of Civil Engineers.","author":[{"dropping-particle":"","family":"Naderpajouh","given":"Nader","non-dropping-particle":"","parse-names":false,"suffix":""},{"dropping-particle":"","family":"Mahdavi","given":"Arash","non-dropping-particle":"","parse-names":false,"suffix":""},{"dropping-particle":"","family":"Hastak","given":"Makarand","non-dropping-particle":"","parse-names":false,"suffix":""},{"dropping-particle":"","family":"Aldrich","given":"Daniel P.","non-dropping-particle":"","parse-names":false,"suffix":""}],"container-title":"Journal of Construction Engineering and Management","id":"ITEM-2","issue":"8","issued":{"date-parts":[["2014"]]},"page":"04014029","title":"Modeling Social Opposition to Infrastructure Development","type":"article-journal","volume":"140"},"uris":["http://www.mendeley.com/documents/?uuid=8c92ca6e-bbae-421f-aa92-7c9d66110b21"]},{"id":"ITEM-3","itemData":{"DOI":"10.1061/(asce)co.1943-7862.0001099","ISSN":"0733-9364","abstract":"© 2015 American Society of Civil Engineers. To enhance concern for the social aspects of sustainability and to delineate the criteria to be considered at each stage of the lifecycle of an infrastructure, this paper aims to determine the relevance of a set of criteria that evaluate social sustainability throughout the lifecycle of a public civil infrastructure. This research presents the results of a case study applying the Delphi method to 24 Chilean experts consulted in a series of three rounds. In addition, binomial statistical tests and Kendall's coefficient were used to show the convergence of the experts. Thus, it was identified that of 36 initial criteria assessed at each stage of the lifecycle, the consideration of 20 is required at the design stage, 29 at the construction stage, 33 during operation, and 27 at demolition. T he most relevant criteria, per lifecycle stage, were Stakeholder Participation (design and demolition stages), External Local Population (design stage), Internal Human Resources (construction and demolition stages), Macro-Social Action of Socioenvironmental Activities (construction stage), and Macro-Social Action of Socioeconomic Activities (operation stage).","author":[{"dropping-particle":"","family":"Sierra","given":"Leonardo A.","non-dropping-particle":"","parse-names":false,"suffix":""},{"dropping-particle":"","family":"Pellicer","given":"Eugenio","non-dropping-particle":"","parse-names":false,"suffix":""},{"dropping-particle":"","family":"Yepes","given":"Víctor","non-dropping-particle":"","parse-names":false,"suffix":""}],"container-title":"Journal of Construction Engineering and Management","id":"ITEM-3","issue":"5","issued":{"date-parts":[["2015"]]},"page":"05015020","title":"Social Sustainability in the Lifecycle of Chilean Public Infrastructure","type":"article-journal","volume":"142"},"uris":["http://www.mendeley.com/documents/?uuid=fbbd4739-860b-4b49-8d89-d03174329137"]}],"mendeley":{"formattedCitation":"(LEHMANN et al., 2013; NADERPAJOUH et al., 2014; SIERRA; PELLICER; YEPES, 2015)","plainTextFormattedCitation":"(LEHMANN et al., 2013; NADERPAJOUH et al., 2014; SIERRA; PELLICER; YEPES, 2015)","previouslyFormattedCitation":"(LEHMANN et al., 2013; NADERPAJOUH et al., 2014; SIERRA; PELLICER; YEPES, 2015)"},"properties":{"noteIndex":0},"schema":"https://github.com/citation-style-language/schema/raw/master/csl-citation.json"}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(LEHMANN et al., 2013; NADERPAJOUH et al., 2014; SIERRA; PELLICER; YEPES, 2015)</w:t>
      </w:r>
      <w:r w:rsidR="005E03C0">
        <w:rPr>
          <w:rFonts w:ascii="Times New Roman" w:hAnsi="Times New Roman" w:cs="Times New Roman"/>
          <w:sz w:val="24"/>
          <w:szCs w:val="24"/>
        </w:rPr>
        <w:fldChar w:fldCharType="end"/>
      </w:r>
      <w:r w:rsidRPr="004F1878">
        <w:rPr>
          <w:rFonts w:ascii="Times New Roman" w:hAnsi="Times New Roman" w:cs="Times New Roman"/>
          <w:sz w:val="24"/>
          <w:szCs w:val="24"/>
        </w:rPr>
        <w:t xml:space="preserve">. </w:t>
      </w:r>
    </w:p>
    <w:p w14:paraId="46161010" w14:textId="4BEF3D64" w:rsidR="00373506" w:rsidRDefault="00373506" w:rsidP="004F1878">
      <w:pPr>
        <w:rPr>
          <w:rFonts w:ascii="Times New Roman" w:hAnsi="Times New Roman" w:cs="Times New Roman"/>
          <w:sz w:val="24"/>
          <w:szCs w:val="24"/>
        </w:rPr>
      </w:pPr>
      <w:r w:rsidRPr="00373506">
        <w:rPr>
          <w:rFonts w:ascii="Times New Roman" w:hAnsi="Times New Roman" w:cs="Times New Roman"/>
          <w:sz w:val="24"/>
          <w:szCs w:val="24"/>
        </w:rPr>
        <w:t xml:space="preserve">O conceito de sucesso de um projeto é desenvolvido para estabelecer critérios e normas pelas quais os gestores do projeto possam completá-los de forma a obter resultados favoráveis. No entanto, este conceito tem-se mantido ambiguamente definido entre os profissionais da construção. Muitos gestores de projetos ainda observam esse tema de forma intuitiva e por conta própria tentam controlar e alocar recursos entre várias áreas de projeto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author":[{"dropping-particle":"","family":"Freeman","given":"Mark","non-dropping-particle":"","parse-names":false,"suffix":""},{"dropping-particle":"","family":"Beale","given":"Peter","non-dropping-particle":"","parse-names":false,"suffix":""}],"container-title":"Project Management Journal","id":"ITEM-1","issue":"1","issued":{"date-parts":[["1992"]]},"page":"8-17","title":"Measuring project success","type":"article-journal","volume":"23"},"uris":["http://www.mendeley.com/documents/?uuid=c610595c-8d67-42c8-b995-2c96f6095f75"]}],"mendeley":{"formattedCitation":"(FREEMAN; BEALE, 1992)","plainTextFormattedCitation":"(FREEMAN; BEALE, 1992)","previouslyFormattedCitation":"(FREEMAN; BEALE, 1992)"},"properties":{"noteIndex":0},"schema":"https://github.com/citation-style-language/schema/raw/master/csl-citation.json"}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(FREEMAN; BEALE, 1992)</w:t>
      </w:r>
      <w:r w:rsidR="005E03C0">
        <w:rPr>
          <w:rFonts w:ascii="Times New Roman" w:hAnsi="Times New Roman" w:cs="Times New Roman"/>
          <w:sz w:val="24"/>
          <w:szCs w:val="24"/>
        </w:rPr>
        <w:fldChar w:fldCharType="end"/>
      </w:r>
      <w:r w:rsidRPr="00373506">
        <w:rPr>
          <w:rFonts w:ascii="Times New Roman" w:hAnsi="Times New Roman" w:cs="Times New Roman"/>
          <w:sz w:val="24"/>
          <w:szCs w:val="24"/>
        </w:rPr>
        <w:t>.</w:t>
      </w:r>
    </w:p>
    <w:p w14:paraId="5264CBC4" w14:textId="16B46F0C" w:rsidR="00373506" w:rsidRPr="00373506" w:rsidRDefault="00373506" w:rsidP="00373506">
      <w:pPr>
        <w:rPr>
          <w:rFonts w:ascii="Times New Roman" w:hAnsi="Times New Roman" w:cs="Times New Roman"/>
          <w:sz w:val="24"/>
          <w:szCs w:val="24"/>
        </w:rPr>
      </w:pPr>
      <w:r w:rsidRPr="00373506">
        <w:rPr>
          <w:rFonts w:ascii="Times New Roman" w:hAnsi="Times New Roman" w:cs="Times New Roman"/>
          <w:sz w:val="24"/>
          <w:szCs w:val="24"/>
        </w:rPr>
        <w:t xml:space="preserve">No estudo de </w:t>
      </w:r>
      <w:r w:rsidR="005E03C0">
        <w:rPr>
          <w:rFonts w:ascii="Times New Roman" w:hAnsi="Times New Roman" w:cs="Times New Roman"/>
          <w:sz w:val="24"/>
          <w:szCs w:val="24"/>
        </w:rPr>
        <w:fldChar w:fldCharType="begin" w:fldLock="1"/>
      </w:r>
      <w:r w:rsidR="005E03C0">
        <w:rPr>
          <w:rFonts w:ascii="Times New Roman" w:hAnsi="Times New Roman" w:cs="Times New Roman"/>
          <w:sz w:val="24"/>
          <w:szCs w:val="24"/>
        </w:rPr>
        <w:instrText>ADDIN CSL_CITATION {"citationItems":[{"id":"ITEM-1","itemData":{"DOI":"10.1061/(asce)up.1943-5444.0000472","ISSN":"0733-9488","abstract":"© 2018 American Society of Civil Engineers. The development of public construction megaprojects in China has been booming during the last decade, and projects of this type are expected to achieve sustainability economically, socially, and environmentally. Despite this, their social sustainability level is relatively low and is yet to be improved. A potentially important reason is the lack of a comprehensive evaluation mechanism to determine if public megaprojects are socially sustainable in the Chinese context. As a prelude to the development of such a mechanism, this paper provides a thorough and comprehensive analysis of the various social sustainability indicators (SSIs) involved from a multistakeholder perspective. Different research methods (e.g., literature review and questionnaire survey) are adopted to collect the relevant information, both locally and internationally. The data are then analyzed with various statistical techniques in terms of mean score ranking, tests of Kendall's coefficient of concordance, Spearman's rank correlation, and factor analysis. The results uncover six sets of SSIs: improved quality of daily life, appropriate macropolicies, harmonious connections with the surroundings, unique local identity, effective public participation, and others. The work is validated by interviews, and the comments raised by the interviewees are reported. The research findings are expected to benefit both the government and the construction industry at large for better addressing social concerns when delivering public megaprojects in China.","author":[{"dropping-particle":"","family":"Li","given":"Hongyang","non-dropping-particle":"","parse-names":false,"suffix":""},{"dropping-particle":"","family":"Zhang","given":"Xiaoling","non-dropping-particle":"","parse-names":false,"suffix":""},{"dropping-particle":"","family":"Ng","given":"S. Thomas","non-dropping-particle":"","parse-names":false,"suffix":""},{"dropping-particle":"","family":"Skitmore","given":"Martin","non-dropping-particle":"","parse-names":false,"suffix":""},{"dropping-particle":"","family":"Dong","given":"Ya Hong","non-dropping-particle":"","parse-names":false,"suffix":""}],"container-title":"Journal of Urban Planning and Development","id":"ITEM-1","issue":"4","issued":{"date-parts":[["2019"]]},"page":"04018034","title":"Social Sustainability Indicators of Public Construction Megaprojects in China","type":"article-journal","volume":"144"},"uris":["http://www.mendeley.com/documents/?uuid=eb63f20c-a20a-46d0-8a63-888db46f8df3"]}],"mendeley":{"formattedCitation":"(LI et al., 2019)","manualFormatting":"Li et al. (2019)","plainTextFormattedCitation":"(LI et al., 2019)","previouslyFormattedCitation":"(LI et al., 2019)"},"properties":{"noteIndex":0},"schema":"https://github.com/citation-style-language/schema/raw/master/csl-citation.json"}</w:instrText>
      </w:r>
      <w:r w:rsidR="005E03C0">
        <w:rPr>
          <w:rFonts w:ascii="Times New Roman" w:hAnsi="Times New Roman" w:cs="Times New Roman"/>
          <w:sz w:val="24"/>
          <w:szCs w:val="24"/>
        </w:rPr>
        <w:fldChar w:fldCharType="separate"/>
      </w:r>
      <w:r w:rsidR="005E03C0" w:rsidRPr="005E03C0">
        <w:rPr>
          <w:rFonts w:ascii="Times New Roman" w:hAnsi="Times New Roman" w:cs="Times New Roman"/>
          <w:noProof/>
          <w:sz w:val="24"/>
          <w:szCs w:val="24"/>
        </w:rPr>
        <w:t>Li</w:t>
      </w:r>
      <w:r w:rsidR="005E03C0">
        <w:rPr>
          <w:rFonts w:ascii="Times New Roman" w:hAnsi="Times New Roman" w:cs="Times New Roman"/>
          <w:noProof/>
          <w:sz w:val="24"/>
          <w:szCs w:val="24"/>
        </w:rPr>
        <w:t xml:space="preserve"> et al.</w:t>
      </w:r>
      <w:r w:rsidR="005E03C0" w:rsidRPr="005E03C0">
        <w:rPr>
          <w:rFonts w:ascii="Times New Roman" w:hAnsi="Times New Roman" w:cs="Times New Roman"/>
          <w:noProof/>
          <w:sz w:val="24"/>
          <w:szCs w:val="24"/>
        </w:rPr>
        <w:t xml:space="preserve"> </w:t>
      </w:r>
      <w:r w:rsidR="005E03C0">
        <w:rPr>
          <w:rFonts w:ascii="Times New Roman" w:hAnsi="Times New Roman" w:cs="Times New Roman"/>
          <w:noProof/>
          <w:sz w:val="24"/>
          <w:szCs w:val="24"/>
        </w:rPr>
        <w:t>(</w:t>
      </w:r>
      <w:r w:rsidR="005E03C0" w:rsidRPr="005E03C0">
        <w:rPr>
          <w:rFonts w:ascii="Times New Roman" w:hAnsi="Times New Roman" w:cs="Times New Roman"/>
          <w:noProof/>
          <w:sz w:val="24"/>
          <w:szCs w:val="24"/>
        </w:rPr>
        <w:t>2019)</w:t>
      </w:r>
      <w:r w:rsidR="005E03C0">
        <w:rPr>
          <w:rFonts w:ascii="Times New Roman" w:hAnsi="Times New Roman" w:cs="Times New Roman"/>
          <w:sz w:val="24"/>
          <w:szCs w:val="24"/>
        </w:rPr>
        <w:fldChar w:fldCharType="end"/>
      </w:r>
      <w:r w:rsidRPr="00373506">
        <w:rPr>
          <w:rFonts w:ascii="Times New Roman" w:hAnsi="Times New Roman" w:cs="Times New Roman"/>
          <w:sz w:val="24"/>
          <w:szCs w:val="24"/>
        </w:rPr>
        <w:t xml:space="preserve">, os autores questionam a intenção original da construção de megaprojetos públicos justamente pela relativo baixo nível de sustentabilidade social encontrado. </w:t>
      </w:r>
    </w:p>
    <w:p w14:paraId="2A669E79" w14:textId="324E66D6" w:rsidR="004F1878" w:rsidRDefault="004F1878" w:rsidP="004F1878">
      <w:pPr>
        <w:rPr>
          <w:rFonts w:ascii="Times New Roman" w:hAnsi="Times New Roman" w:cs="Times New Roman"/>
          <w:sz w:val="24"/>
          <w:szCs w:val="24"/>
        </w:rPr>
      </w:pPr>
      <w:r w:rsidRPr="004F1878">
        <w:rPr>
          <w:rFonts w:ascii="Times New Roman" w:hAnsi="Times New Roman" w:cs="Times New Roman"/>
          <w:sz w:val="24"/>
          <w:szCs w:val="24"/>
        </w:rPr>
        <w:t>No panorama regional, não foi encontrada nenhuma divulgação acerca do desempenho social das construtoras de origem da Região Metropolitana de Recife (RMR), seja através dos relatórios anuais de sustentabilidade, ou qualquer outro meio. Sendo assim, este trabalho se mostra de grande importância para expor a situação atual de como aspecto social é levado em consideração por essas empresas, servindo de base para tomadas de decisões futuras, que passem a incluir, de maneira mais eficiente, esse aspecto.</w:t>
      </w:r>
    </w:p>
    <w:p w14:paraId="1F92347C" w14:textId="46F4293A" w:rsidR="00F23C2A" w:rsidRDefault="00F23C2A" w:rsidP="00373506">
      <w:pPr>
        <w:rPr>
          <w:rFonts w:ascii="Times New Roman" w:hAnsi="Times New Roman" w:cs="Times New Roman"/>
          <w:sz w:val="24"/>
          <w:szCs w:val="24"/>
        </w:rPr>
      </w:pPr>
    </w:p>
    <w:p w14:paraId="1FDE680B" w14:textId="6A7428B8" w:rsidR="00F23C2A" w:rsidRPr="00F23C2A" w:rsidRDefault="00F23C2A" w:rsidP="00373506">
      <w:pPr>
        <w:rPr>
          <w:rFonts w:ascii="Times New Roman" w:hAnsi="Times New Roman" w:cs="Times New Roman"/>
          <w:b/>
          <w:sz w:val="24"/>
          <w:szCs w:val="24"/>
        </w:rPr>
      </w:pPr>
      <w:r w:rsidRPr="00F23C2A">
        <w:rPr>
          <w:rFonts w:ascii="Times New Roman" w:hAnsi="Times New Roman" w:cs="Times New Roman"/>
          <w:b/>
          <w:sz w:val="24"/>
          <w:szCs w:val="24"/>
        </w:rPr>
        <w:t>GLOBAL REPORTING INITIATIVE</w:t>
      </w:r>
    </w:p>
    <w:p w14:paraId="2049D1DD" w14:textId="35192166" w:rsidR="00F23C2A" w:rsidRDefault="00D22D69" w:rsidP="00373506">
      <w:pPr>
        <w:rPr>
          <w:rFonts w:ascii="Times New Roman" w:hAnsi="Times New Roman" w:cs="Times New Roman"/>
          <w:sz w:val="24"/>
          <w:szCs w:val="24"/>
        </w:rPr>
      </w:pPr>
      <w:r w:rsidRPr="00D22D69">
        <w:rPr>
          <w:rFonts w:ascii="Times New Roman" w:hAnsi="Times New Roman" w:cs="Times New Roman"/>
          <w:sz w:val="24"/>
          <w:szCs w:val="24"/>
        </w:rPr>
        <w:t>A</w:t>
      </w:r>
      <w:r>
        <w:rPr>
          <w:rFonts w:ascii="Times New Roman" w:hAnsi="Times New Roman" w:cs="Times New Roman"/>
          <w:sz w:val="24"/>
          <w:szCs w:val="24"/>
        </w:rPr>
        <w:t xml:space="preserve"> </w:t>
      </w:r>
      <w:r w:rsidRPr="00F23C2A">
        <w:rPr>
          <w:rFonts w:ascii="Times New Roman" w:hAnsi="Times New Roman" w:cs="Times New Roman"/>
          <w:i/>
          <w:sz w:val="24"/>
          <w:szCs w:val="24"/>
        </w:rPr>
        <w:t>Global Reporting Initiative</w:t>
      </w:r>
      <w:r w:rsidRPr="00D22D69">
        <w:rPr>
          <w:rFonts w:ascii="Times New Roman" w:hAnsi="Times New Roman" w:cs="Times New Roman"/>
          <w:sz w:val="24"/>
          <w:szCs w:val="24"/>
        </w:rPr>
        <w:t xml:space="preserve"> </w:t>
      </w:r>
      <w:r>
        <w:rPr>
          <w:rFonts w:ascii="Times New Roman" w:hAnsi="Times New Roman" w:cs="Times New Roman"/>
          <w:sz w:val="24"/>
          <w:szCs w:val="24"/>
        </w:rPr>
        <w:t>(</w:t>
      </w:r>
      <w:r w:rsidRPr="00D22D69">
        <w:rPr>
          <w:rFonts w:ascii="Times New Roman" w:hAnsi="Times New Roman" w:cs="Times New Roman"/>
          <w:sz w:val="24"/>
          <w:szCs w:val="24"/>
        </w:rPr>
        <w:t>GRI</w:t>
      </w:r>
      <w:r>
        <w:rPr>
          <w:rFonts w:ascii="Times New Roman" w:hAnsi="Times New Roman" w:cs="Times New Roman"/>
          <w:sz w:val="24"/>
          <w:szCs w:val="24"/>
        </w:rPr>
        <w:t>)</w:t>
      </w:r>
      <w:r w:rsidRPr="00D22D69">
        <w:rPr>
          <w:rFonts w:ascii="Times New Roman" w:hAnsi="Times New Roman" w:cs="Times New Roman"/>
          <w:sz w:val="24"/>
          <w:szCs w:val="24"/>
        </w:rPr>
        <w:t xml:space="preserve"> é uma organização não governamental internacional, cuja missão é desenvolver e disseminar globalmente diretrizes para a elaboração de relatórios de sustentabilidade utilizadas voluntariamente por empresas do mundo todo. </w:t>
      </w:r>
      <w:r w:rsidRPr="00D22D69">
        <w:rPr>
          <w:rFonts w:ascii="Times New Roman" w:hAnsi="Times New Roman" w:cs="Times New Roman"/>
          <w:sz w:val="24"/>
          <w:szCs w:val="24"/>
        </w:rPr>
        <w:lastRenderedPageBreak/>
        <w:t xml:space="preserve">Essa organização tem focado suas atividades no desenvolvimento de um padrão de relatório que aborde os aspectos relacionados à sustentabilidade econômica, social e ambiental das organizações </w:t>
      </w:r>
      <w:r w:rsidR="00734DCA">
        <w:rPr>
          <w:rFonts w:ascii="Times New Roman" w:hAnsi="Times New Roman" w:cs="Times New Roman"/>
          <w:sz w:val="24"/>
          <w:szCs w:val="24"/>
        </w:rPr>
        <w:fldChar w:fldCharType="begin" w:fldLock="1"/>
      </w:r>
      <w:r w:rsidR="00734DCA">
        <w:rPr>
          <w:rFonts w:ascii="Times New Roman" w:hAnsi="Times New Roman" w:cs="Times New Roman"/>
          <w:sz w:val="24"/>
          <w:szCs w:val="24"/>
        </w:rPr>
        <w:instrText>ADDIN CSL_CITATION {"citationItems":[{"id":"ITEM-1","itemData":{"abstract":"Manual for the preparation of sustainability reports by organizations, regardless of their size, sector or location. The Guidelines also offer an international reference for all those interested in the disclosure of governance approach and of the environmental, social and economicI performance and impactsII of organizations. The Guidelines are useful in the preparation of any type of document which requires such disclosure. The","author":[{"dropping-particle":"","family":"GRI","given":"","non-dropping-particle":"","parse-names":false,"suffix":""}],"container-title":"Global Reporting Initiative","id":"ITEM-1","issued":{"date-parts":[["2014"]]},"title":"G4 Sustainability Reporting Guidelines - Reporting Principles and Standard Disclosures","type":"article-journal"},"uris":["http://www.mendeley.com/documents/?uuid=22b5807d-4904-4a1b-ba22-faf3bce744cd"]}],"mendeley":{"formattedCitation":"(GRI, 2014)","plainTextFormattedCitation":"(GRI, 2014)","previouslyFormattedCitation":"(GRI, 2014)"},"properties":{"noteIndex":0},"schema":"https://github.com/citation-style-language/schema/raw/master/csl-citation.json"}</w:instrText>
      </w:r>
      <w:r w:rsidR="00734DCA">
        <w:rPr>
          <w:rFonts w:ascii="Times New Roman" w:hAnsi="Times New Roman" w:cs="Times New Roman"/>
          <w:sz w:val="24"/>
          <w:szCs w:val="24"/>
        </w:rPr>
        <w:fldChar w:fldCharType="separate"/>
      </w:r>
      <w:r w:rsidR="00734DCA" w:rsidRPr="00734DCA">
        <w:rPr>
          <w:rFonts w:ascii="Times New Roman" w:hAnsi="Times New Roman" w:cs="Times New Roman"/>
          <w:noProof/>
          <w:sz w:val="24"/>
          <w:szCs w:val="24"/>
        </w:rPr>
        <w:t>(GRI, 2014)</w:t>
      </w:r>
      <w:r w:rsidR="00734DCA">
        <w:rPr>
          <w:rFonts w:ascii="Times New Roman" w:hAnsi="Times New Roman" w:cs="Times New Roman"/>
          <w:sz w:val="24"/>
          <w:szCs w:val="24"/>
        </w:rPr>
        <w:fldChar w:fldCharType="end"/>
      </w:r>
      <w:r w:rsidRPr="00D22D69">
        <w:rPr>
          <w:rFonts w:ascii="Times New Roman" w:hAnsi="Times New Roman" w:cs="Times New Roman"/>
          <w:sz w:val="24"/>
          <w:szCs w:val="24"/>
        </w:rPr>
        <w:t>.</w:t>
      </w:r>
    </w:p>
    <w:p w14:paraId="7757974B" w14:textId="066043F3" w:rsidR="00D22D69" w:rsidRDefault="00D22D69" w:rsidP="00D22D69">
      <w:pPr>
        <w:rPr>
          <w:rFonts w:ascii="Times New Roman" w:hAnsi="Times New Roman" w:cs="Times New Roman"/>
          <w:sz w:val="24"/>
          <w:szCs w:val="24"/>
        </w:rPr>
      </w:pPr>
      <w:r>
        <w:rPr>
          <w:rFonts w:ascii="Times New Roman" w:hAnsi="Times New Roman" w:cs="Times New Roman"/>
          <w:sz w:val="24"/>
          <w:szCs w:val="24"/>
        </w:rPr>
        <w:t xml:space="preserve">Diante da grande variedade de estudos desenvolvidos acerca da sustentabilidade social, a </w:t>
      </w:r>
      <w:r w:rsidRPr="00D22D69">
        <w:rPr>
          <w:rFonts w:ascii="Times New Roman" w:hAnsi="Times New Roman" w:cs="Times New Roman"/>
          <w:i/>
          <w:sz w:val="24"/>
          <w:szCs w:val="24"/>
        </w:rPr>
        <w:t>Global Reporting Initiative</w:t>
      </w:r>
      <w:r>
        <w:rPr>
          <w:rFonts w:ascii="Times New Roman" w:hAnsi="Times New Roman" w:cs="Times New Roman"/>
          <w:sz w:val="24"/>
          <w:szCs w:val="24"/>
        </w:rPr>
        <w:t xml:space="preserve"> conseguiu aglomerar em suas diretrizes para elaboração de relatórios sustentáveis a ampla gama dos stakeholders envolvidos nos processos empresariais.</w:t>
      </w:r>
      <w:r w:rsidR="00D22EFF">
        <w:rPr>
          <w:rFonts w:ascii="Times New Roman" w:hAnsi="Times New Roman" w:cs="Times New Roman"/>
          <w:sz w:val="24"/>
          <w:szCs w:val="24"/>
        </w:rPr>
        <w:t xml:space="preserve"> Sendo assim, esses indicadores foram selecionados para teste de aplicabilidade nas construtoras locais.</w:t>
      </w:r>
    </w:p>
    <w:p w14:paraId="31E08E10" w14:textId="47032134" w:rsidR="00D22D69" w:rsidRPr="00D22D69" w:rsidRDefault="00D22D69" w:rsidP="00D22D69">
      <w:pPr>
        <w:rPr>
          <w:rFonts w:ascii="Times New Roman" w:hAnsi="Times New Roman" w:cs="Times New Roman"/>
          <w:sz w:val="24"/>
          <w:szCs w:val="24"/>
        </w:rPr>
      </w:pPr>
      <w:r w:rsidRPr="00D22D69">
        <w:rPr>
          <w:rFonts w:ascii="Times New Roman" w:hAnsi="Times New Roman" w:cs="Times New Roman"/>
          <w:sz w:val="24"/>
          <w:szCs w:val="24"/>
        </w:rPr>
        <w:t xml:space="preserve">Os aspectos da sustentabilidade social dos Padrões GRI estão subdivididos em 19 tópicos diferentes, totalizando 40 indicadores, de acordo com a </w:t>
      </w:r>
      <w:r w:rsidRPr="00D22D69">
        <w:rPr>
          <w:rFonts w:ascii="Times New Roman" w:hAnsi="Times New Roman" w:cs="Times New Roman"/>
          <w:sz w:val="24"/>
          <w:szCs w:val="24"/>
        </w:rPr>
        <w:fldChar w:fldCharType="begin"/>
      </w:r>
      <w:r w:rsidRPr="00D22D69">
        <w:rPr>
          <w:rFonts w:ascii="Times New Roman" w:hAnsi="Times New Roman" w:cs="Times New Roman"/>
          <w:sz w:val="24"/>
          <w:szCs w:val="24"/>
        </w:rPr>
        <w:instrText xml:space="preserve"> REF _Ref14103111 \h  \* MERGEFORMAT </w:instrText>
      </w:r>
      <w:r w:rsidRPr="00D22D69">
        <w:rPr>
          <w:rFonts w:ascii="Times New Roman" w:hAnsi="Times New Roman" w:cs="Times New Roman"/>
          <w:sz w:val="24"/>
          <w:szCs w:val="24"/>
        </w:rPr>
      </w:r>
      <w:r w:rsidRPr="00D22D69">
        <w:rPr>
          <w:rFonts w:ascii="Times New Roman" w:hAnsi="Times New Roman" w:cs="Times New Roman"/>
          <w:sz w:val="24"/>
          <w:szCs w:val="24"/>
        </w:rPr>
        <w:fldChar w:fldCharType="separate"/>
      </w:r>
      <w:r w:rsidRPr="00D22D69">
        <w:rPr>
          <w:rFonts w:ascii="Times New Roman" w:hAnsi="Times New Roman" w:cs="Times New Roman"/>
          <w:sz w:val="24"/>
          <w:szCs w:val="24"/>
        </w:rPr>
        <w:t xml:space="preserve">Tabela </w:t>
      </w:r>
      <w:r w:rsidRPr="00D22D69">
        <w:rPr>
          <w:rFonts w:ascii="Times New Roman" w:hAnsi="Times New Roman" w:cs="Times New Roman"/>
          <w:noProof/>
          <w:sz w:val="24"/>
          <w:szCs w:val="24"/>
        </w:rPr>
        <w:t>1</w:t>
      </w:r>
      <w:r w:rsidRPr="00D22D69">
        <w:rPr>
          <w:rFonts w:ascii="Times New Roman" w:hAnsi="Times New Roman" w:cs="Times New Roman"/>
          <w:sz w:val="24"/>
          <w:szCs w:val="24"/>
        </w:rPr>
        <w:fldChar w:fldCharType="end"/>
      </w:r>
      <w:r w:rsidRPr="00D22D69">
        <w:rPr>
          <w:rFonts w:ascii="Times New Roman" w:hAnsi="Times New Roman" w:cs="Times New Roman"/>
          <w:sz w:val="24"/>
          <w:szCs w:val="24"/>
        </w:rPr>
        <w:t xml:space="preserve"> </w:t>
      </w:r>
      <w:r w:rsidRPr="00D22D69">
        <w:rPr>
          <w:rFonts w:ascii="Times New Roman" w:hAnsi="Times New Roman" w:cs="Times New Roman"/>
          <w:sz w:val="24"/>
          <w:szCs w:val="24"/>
        </w:rPr>
        <w:fldChar w:fldCharType="begin" w:fldLock="1"/>
      </w:r>
      <w:r w:rsidR="00734DCA">
        <w:rPr>
          <w:rFonts w:ascii="Times New Roman" w:hAnsi="Times New Roman" w:cs="Times New Roman"/>
          <w:sz w:val="24"/>
          <w:szCs w:val="24"/>
        </w:rPr>
        <w:instrText>ADDIN CSL_CITATION {"citationItems":[{"id":"ITEM-1","itemData":{"ISBN":"9781921114069","abstract":"Zero Waste SA, established by the Zero Waste SA Act 2004, provides strategic policy advice and direction to government and stakeholders. It undertakes programs and projects that maximise waste reduction and promote recycling and sustainability. It engages with the community, business and government, building partnerships for change.","author":[{"dropping-particle":"","family":"Global Reporting Initiative","given":"","non-dropping-particle":"","parse-names":false,"suffix":""}],"container-title":"GRI Standards","id":"ITEM-1","issued":{"date-parts":[["2016"]]},"title":"GRI 401: Employment","type":"article-journal"},"uris":["http://www.mendeley.com/documents/?uuid=1af1e825-9399-428b-82e0-779b459e78f4"]},{"id":"ITEM-2","itemData":{"author":[{"dropping-particle":"","family":"Global Reporting Initiative","given":"","non-dropping-particle":"","parse-names":false,"suffix":""}],"id":"ITEM-2","issued":{"date-parts":[["2018"]]},"page":"1-8","title":"GRI 402: Labor/Management Relations","type":"article-journal"},"uris":["http://www.mendeley.com/documents/?uuid=190a3a93-71e4-4349-8d89-d556665815a2"]},{"id":"ITEM-3","itemData":{"author":[{"dropping-particle":"","family":"Global Reporting Initiative","given":"","non-dropping-particle":"","parse-names":false,"suffix":""}],"id":"ITEM-3","issued":{"date-parts":[["2018"]]},"title":"GRI 403: Occupational health and safety","type":"article-journal"},"uris":["http://www.mendeley.com/documents/?uuid=24884da0-d1ad-4fc4-937d-d690f4c4ed6c"]},{"id":"ITEM-4","itemData":{"ISBN":"978-90-8866-056-6","abstract":"This document is the Foundation section of the GRI G4 Standard","author":[{"dropping-particle":"","family":"Global Reporting Initiative","given":"","non-dropping-particle":"","parse-names":false,"suffix":""}],"container-title":"GRI Global","id":"ITEM-4","issue":"1","issued":{"date-parts":[["2016"]]},"page":"13","title":"GRI 404: Training and education","type":"article-journal","volume":"GRI101"},"uris":["http://www.mendeley.com/documents/?uuid=bc231cff-cf66-4dbd-a6fe-a0be523cef33"]},{"id":"ITEM-5","itemData":{"author":[{"dropping-particle":"","family":"Global Reporting Initiative","given":"","non-dropping-particle":"","parse-names":false,"suffix":""}],"container-title":"GRI Standards","id":"ITEM-5","issued":{"date-parts":[["2016"]]},"title":"GRI 405: Diversity and equal opportunity","type":"article-journal"},"uris":["http://www.mendeley.com/documents/?uuid=786bdd60-06e3-4485-ac82-b5160139d8c8"]},{"id":"ITEM-6","itemData":{"author":[{"dropping-particle":"","family":"Global Reporting Initiative","given":"","non-dropping-particle":"","parse-names":false,"suffix":""}],"id":"ITEM-6","issued":{"date-parts":[["2016"]]},"title":"GRI 406: No discrimination","type":"article-journal"},"uris":["http://www.mendeley.com/documents/?uuid=be0f9be9-f83e-4291-b8bb-6067cf848f9b"]},{"id":"ITEM-7","itemData":{"author":[{"dropping-particle":"","family":"Global Reporting Initiative","given":"","non-dropping-particle":"","parse-names":false,"suffix":""}],"container-title":"GRI Standards","id":"ITEM-7","issued":{"date-parts":[["2016"]]},"title":"GRI 407: Freedom of association and collective bargaining","type":"article-journal"},"uris":["http://www.mendeley.com/documents/?uuid=7ec762a3-95c4-40d9-89d3-6854485a7b5a"]},{"id":"ITEM-8","itemData":{"author":[{"dropping-particle":"","family":"Global Reporting Initiative","given":"","non-dropping-particle":"","parse-names":false,"suffix":""}],"container-title":"GRI Standards","id":"ITEM-8","issued":{"date-parts":[["2016"]]},"title":"GRI 408: Child labor","type":"article-journal"},"uris":["http://www.mendeley.com/documents/?uuid=d009d84e-858e-45a7-9bb6-274b35c86d6b"]},{"id":"ITEM-9","itemData":{"author":[{"dropping-particle":"","family":"Global Reporting Initiative","given":"","non-dropping-particle":"","parse-names":false,"suffix":""}],"container-title":"GRI Standards","id":"ITEM-9","issued":{"date-parts":[["2016"]]},"title":"GRI 409: Forced or compulsory labor","type":"article-journal"},"uris":["http://www.mendeley.com/documents/?uuid=66e1f273-fe26-41d1-a1d5-21955cb6014f"]},{"id":"ITEM-10","itemData":{"DOI":"10.2307/249597","ISBN":"02767783","ISSN":"02767783","PMID":"9512120051","abstract":"This longitudinal field study (three work sessions plus an initial training session) investigates the efficacy of a new technology-desktop video-conferencing (DVC)-in support of collaborative telelearning (i.e., collaborative learning among non-proximate team members). Two types of collaborative telelearning environments are considered: One involves local groups (i.e., students on the same campus), and the other involves non-proximate distant groups (i.e., students on two separate campuses). The collaborative telelearning environments are compared to each other and to a traditional face-to-face collaborative learning environment. The study found that the three environments are equally effective in terms of student knowledge acquisition; however, higher critical-thinking skills were found in the distant DVC environment. The subjects in the three learning environments were equally satisfied with their learning process and outcomes. At the conclusion of the longitudinal assessment, the distant students using DVC were more committed and attracted to their groups compared to local students who worked face-to-face or through DVC.","author":[{"dropping-particle":"","family":"Global Reporting Initiative","given":"","non-dropping-particle":"","parse-names":false,"suffix":""}],"container-title":"GRI Global","id":"ITEM-10","issued":{"date-parts":[["2016"]]},"title":"GRI 410: Security practices","type":"article-journal"},"uris":["http://www.mendeley.com/documents/?uuid=d1ce89a9-680c-4201-9d03-c839a4731dd4"]},{"id":"ITEM-11","itemData":{"author":[{"dropping-particle":"","family":"Global Reporting Initiative","given":"","non-dropping-particle":"","parse-names":false,"suffix":""}],"container-title":"GRI Global","id":"ITEM-11","issued":{"date-parts":[["2016"]]},"title":"GRI 411: Rights of indigenous peoples","type":"article-journal"},"uris":["http://www.mendeley.com/documents/?uuid=109f14ae-0ae0-478a-b452-60db8efd82d3"]},{"id":"ITEM-12","itemData":{"author":[{"dropping-particle":"","family":"Global Reporting Initiative","given":"","non-dropping-particle":"","parse-names":false,"suffix":""}],"container-title":"GRI Standards","id":"ITEM-12","issued":{"date-parts":[["2016"]]},"title":"GRI 412: Human rights assessment","type":"article-journal"},"uris":["http://www.mendeley.com/documents/?uuid=6e46478c-6633-44d1-bdc9-ff7e927e3fb2"]},{"id":"ITEM-13","itemData":{"author":[{"dropping-particle":"","family":"Global Reporting Initiative","given":"","non-dropping-particle":"","parse-names":false,"suffix":""}],"id":"ITEM-13","issued":{"date-parts":[["2016"]]},"title":"GRI 413: Local communities","type":"article-journal"},"uris":["http://www.mendeley.com/documents/?uuid=163c69d3-c0da-4a05-8f0a-38e804eddb8e"]},{"id":"ITEM-14","itemData":{"author":[{"dropping-particle":"","family":"Global Reporting Initiative","given":"","non-dropping-particle":"","parse-names":false,"suffix":""}],"container-title":"GRI Standards","id":"ITEM-14","issued":{"date-parts":[["2016"]]},"title":"GRI 414: Supplier social assessment","type":"article-journal"},"uris":["http://www.mendeley.com/documents/?uuid=5a09291d-2832-4193-bd18-c6535129d13a"]},{"id":"ITEM-15","itemData":{"DOI":"10.1590/S0104-42302000000300014","ISSN":"0104-4230","abstract":"UNITERMOS: Câncer em crianças. Qualidade de vida. Efei-tos tardios. Segunda neoplasia. KEY WORDS: Childhood cancer. Quality of life. Late effects. Second malignant neoplasm. INTRODUÇÃO Até a década de 70 a grande maioria das crian-ças portadoras de neoplasia faleciam. O objetivo do tratamento da época era alcançar a cura a qualquer preço. A maioria dos efeitos tardios não eram conhecidos, pois o período de observação pós tratamento era pequeno e parte destes efeitos não eram ainda encontrados ou descritos na literatu-ra. Nos países desenvolvidos, a filosofia de trata-mento era semelhante e os pacientes curados ti-nham pouco tempo de observação . Com o aumento da taxa de sobreviventes cada vez maior, somos levados a acompanhar esses pacientes curados por vários anos. Tem-se obser-vado o impacto dos efeitos tardios relacionados ao tratamento na qualidade de vida destes adultos jovens. Dados obtidos na literatura vêm nos mos-trando que no ano 2000, um em cada 1000 adultos na sua terceira década de vida será um sobrevi-vente de um câncer pediátrico 11 . As consultas clínicas efetuadas após o término do tratamento têm como finalidade confirmar que o paciente continua em remissão de sua doença, assim como avaliar as toxicidades relacionadas ao tratamento. Testes de avaliação dos efeitos tardios incluem exame físico ou laboratorial para análise dos órgãos ou sistemas : cérebro, coração, pulmões, tireóide, gônadas, medula óssea, ossos e tecidos de partes moles (músculos, cartilagens, entre ou-tros), e testes psicológicos (avaliação cognitiva, aprendizado, emocional). Os efeitos tardios do tratamento podem se manifestar mais precocemente ou a longo prazo, dependendo do tratamento utilizado e da idade da criança ao ser exposta ao tratamento. Por exemplo, muitos dos efeitos ligados à radiotera-pia tais como os endocrinológicos (crescimento, hipotiroidismo, entre outros), podem não ser manifestados nos primeiros anos após o término do tratamento. Alguns efeitos provocados pela quimioterapia podem também se manifestar mais tardiamente como por exemplo insuficiência re-nal, cardiomiopatia, perda de audição, etc. (Ta-belas 1,2 e 3). Nos Estados Unidos foi criado um grupo para estudo dos efeitos tardios denominado \" Late Ef-fects Study Group \" , no qual pediatras oncologistas e outros especialistas, através de estudos científi-cos, passaram a estudar as experiências encontra-das com os pacientes curados e as relações encon-tradas entre os tipos de tratamentos propostos…","author":[{"dropping-particle":"","family":"Global Reporting Initiative","given":"","non-dropping-particle":"","parse-names":false,"suffix":""}],"container-title":"GRI Standards","id":"ITEM-15","issued":{"date-parts":[["2016"]]},"title":"GRI 415: Public policy","type":"article-journal"},"uris":["http://www.mendeley.com/documents/?uuid=554b10b5-5c23-46b3-b25b-f6141403421f"]},{"id":"ITEM-16","itemData":{"author":[{"dropping-particle":"","family":"Global Reporting Initiative","given":"","non-dropping-particle":"","parse-names":false,"suffix":""}],"container-title":"GRI Standards","id":"ITEM-16","issued":{"date-parts":[["2016"]]},"title":"GRI 416: Customer health and safety","type":"article-journal"},"uris":["http://www.mendeley.com/documents/?uuid=ec47de97-ef1c-4774-9351-61bbfdbfc927"]},{"id":"ITEM-17","itemData":{"author":[{"dropping-particle":"","family":"Global Reporting Initiative","given":"","non-dropping-particle":"","parse-names":false,"suffix":""}],"id":"ITEM-17","issued":{"date-parts":[["2016"]]},"page":"10","title":"GRI 417: Marketing and Labeling","type":"article-journal"},"uris":["http://www.mendeley.com/documents/?uuid=9f577059-e62b-4606-91e4-94db295bec78"]},{"id":"ITEM-18","itemData":{"author":[{"dropping-particle":"","family":"Global Reporting Initiative","given":"","non-dropping-particle":"","parse-names":false,"suffix":""}],"container-title":"GRI Standards","id":"ITEM-18","issued":{"date-parts":[["2016"]]},"title":"GRI 418: Customer privacy","type":"article-journal"},"uris":["http://www.mendeley.com/documents/?uuid=dce73286-d737-40e3-b837-083ed03f6827"]},{"id":"ITEM-19","itemData":{"author":[{"dropping-particle":"","family":"Global Reporting Initiative","given":"","non-dropping-particle":"","parse-names":false,"suffix":""}],"id":"ITEM-19","issued":{"date-parts":[["2016"]]},"title":"GRI 419: Socioeconomic compliance","type":"article-journal"},"uris":["http://www.mendeley.com/documents/?uuid=a29bb83b-090e-4b04-922d-ab49fb838e26"]}],"mendeley":{"formattedCitation":"(GLOBAL REPORTING INITIATIVE, 2016h, 2016a, 2016i, 2016j, 2016k, 2016l, 2016m, 2016n, 2016q, 2018a, 2018b, 2016p, 2016b, 2016c, 2016d, 2016e, 2016f, 2016g, 2016o)","plainTextFormattedCitation":"(GLOBAL REPORTING INITIATIVE, 2016h, 2016a, 2016i, 2016j, 2016k, 2016l, 2016m, 2016n, 2016q, 2018a, 2018b, 2016p, 2016b, 2016c, 2016d, 2016e, 2016f, 2016g, 2016o)","previouslyFormattedCitation":"(GLOBAL REPORTING INITIATIVE, 2016h, 2016a, 2016i, 2016j, 2016k, 2016l, 2016m, 2016n, 2016q, 2018a, 2018b, 2016p, 2016b, 2016c, 2016d, 2016e, 2016f, 2016g, 2016o)"},"properties":{"noteIndex":0},"schema":"https://github.com/citation-style-language/schema/raw/master/csl-citation.json"}</w:instrText>
      </w:r>
      <w:r w:rsidRPr="00D22D69">
        <w:rPr>
          <w:rFonts w:ascii="Times New Roman" w:hAnsi="Times New Roman" w:cs="Times New Roman"/>
          <w:sz w:val="24"/>
          <w:szCs w:val="24"/>
        </w:rPr>
        <w:fldChar w:fldCharType="separate"/>
      </w:r>
      <w:r w:rsidRPr="00D22D69">
        <w:rPr>
          <w:rFonts w:ascii="Times New Roman" w:hAnsi="Times New Roman" w:cs="Times New Roman"/>
          <w:noProof/>
          <w:sz w:val="24"/>
          <w:szCs w:val="24"/>
        </w:rPr>
        <w:t>(GLOBAL REPORTING INITIATIVE, 2016h, 2016a, 2016i, 2016j, 2016k, 2016l, 2016m, 2016n, 2016q, 2018a, 2018b, 2016p, 2016b, 2016c, 2016d, 2016e, 2016f, 2016g, 2016o)</w:t>
      </w:r>
      <w:r w:rsidRPr="00D22D69">
        <w:rPr>
          <w:rFonts w:ascii="Times New Roman" w:hAnsi="Times New Roman" w:cs="Times New Roman"/>
          <w:sz w:val="24"/>
          <w:szCs w:val="24"/>
        </w:rPr>
        <w:fldChar w:fldCharType="end"/>
      </w:r>
      <w:r w:rsidRPr="00D22D69">
        <w:rPr>
          <w:rFonts w:ascii="Times New Roman" w:hAnsi="Times New Roman" w:cs="Times New Roman"/>
          <w:sz w:val="24"/>
          <w:szCs w:val="24"/>
        </w:rPr>
        <w:t xml:space="preserve">: </w:t>
      </w:r>
    </w:p>
    <w:p w14:paraId="0EB6C9F7" w14:textId="77777777" w:rsidR="00D22D69" w:rsidRDefault="00D22D69" w:rsidP="00D22D69"/>
    <w:p w14:paraId="156ECD84" w14:textId="77777777" w:rsidR="00D22D69" w:rsidRDefault="00D22D69" w:rsidP="00D22D69">
      <w:pPr>
        <w:pStyle w:val="Figura"/>
      </w:pPr>
      <w:bookmarkStart w:id="0" w:name="_Ref14103111"/>
      <w:bookmarkStart w:id="1" w:name="_Toc15932040"/>
      <w:r>
        <w:t xml:space="preserve">Tabela </w:t>
      </w:r>
      <w:fldSimple w:instr=" SEQ Tabela \* ARABIC ">
        <w:r>
          <w:rPr>
            <w:noProof/>
          </w:rPr>
          <w:t>1</w:t>
        </w:r>
      </w:fldSimple>
      <w:bookmarkEnd w:id="0"/>
      <w:r>
        <w:t xml:space="preserve"> - Tópicos e Indicadores Sociais dos Padrões GRI</w:t>
      </w:r>
      <w:bookmarkEnd w:id="1"/>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400"/>
        <w:gridCol w:w="6173"/>
      </w:tblGrid>
      <w:tr w:rsidR="00D22D69" w:rsidRPr="00D22D69" w14:paraId="41B79F35" w14:textId="77777777" w:rsidTr="00D22EFF">
        <w:trPr>
          <w:trHeight w:val="320"/>
        </w:trPr>
        <w:tc>
          <w:tcPr>
            <w:tcW w:w="1707" w:type="dxa"/>
            <w:shd w:val="clear" w:color="auto" w:fill="auto"/>
            <w:hideMark/>
          </w:tcPr>
          <w:p w14:paraId="56CF110D"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TÓPICO</w:t>
            </w:r>
          </w:p>
        </w:tc>
        <w:tc>
          <w:tcPr>
            <w:tcW w:w="1400" w:type="dxa"/>
            <w:shd w:val="clear" w:color="auto" w:fill="auto"/>
            <w:hideMark/>
          </w:tcPr>
          <w:p w14:paraId="60CE003B"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CÓDIGO</w:t>
            </w:r>
          </w:p>
        </w:tc>
        <w:tc>
          <w:tcPr>
            <w:tcW w:w="6173" w:type="dxa"/>
            <w:shd w:val="clear" w:color="auto" w:fill="auto"/>
            <w:hideMark/>
          </w:tcPr>
          <w:p w14:paraId="59EBAF79"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INDICADOR</w:t>
            </w:r>
          </w:p>
        </w:tc>
      </w:tr>
      <w:tr w:rsidR="00D22D69" w:rsidRPr="00D22D69" w14:paraId="2CBC350E" w14:textId="77777777" w:rsidTr="00D22EFF">
        <w:trPr>
          <w:trHeight w:val="300"/>
        </w:trPr>
        <w:tc>
          <w:tcPr>
            <w:tcW w:w="1707" w:type="dxa"/>
            <w:vMerge w:val="restart"/>
            <w:shd w:val="clear" w:color="auto" w:fill="auto"/>
            <w:hideMark/>
          </w:tcPr>
          <w:p w14:paraId="3C637D76"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Emprego</w:t>
            </w:r>
          </w:p>
        </w:tc>
        <w:tc>
          <w:tcPr>
            <w:tcW w:w="1400" w:type="dxa"/>
            <w:shd w:val="clear" w:color="auto" w:fill="auto"/>
            <w:noWrap/>
            <w:hideMark/>
          </w:tcPr>
          <w:p w14:paraId="4FD0DD1A"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401-1</w:t>
            </w:r>
          </w:p>
        </w:tc>
        <w:tc>
          <w:tcPr>
            <w:tcW w:w="6173" w:type="dxa"/>
            <w:shd w:val="clear" w:color="auto" w:fill="auto"/>
            <w:hideMark/>
          </w:tcPr>
          <w:p w14:paraId="1ABF01FE"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Novas contratações de funcionários e rotatividade de funcionários</w:t>
            </w:r>
          </w:p>
        </w:tc>
      </w:tr>
      <w:tr w:rsidR="00D22D69" w:rsidRPr="00D22D69" w14:paraId="535C4872" w14:textId="77777777" w:rsidTr="00D22EFF">
        <w:trPr>
          <w:trHeight w:val="600"/>
        </w:trPr>
        <w:tc>
          <w:tcPr>
            <w:tcW w:w="1707" w:type="dxa"/>
            <w:vMerge/>
            <w:shd w:val="clear" w:color="auto" w:fill="auto"/>
            <w:hideMark/>
          </w:tcPr>
          <w:p w14:paraId="4B4C3460"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45821BFE"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401-2</w:t>
            </w:r>
          </w:p>
        </w:tc>
        <w:tc>
          <w:tcPr>
            <w:tcW w:w="6173" w:type="dxa"/>
            <w:shd w:val="clear" w:color="auto" w:fill="auto"/>
            <w:hideMark/>
          </w:tcPr>
          <w:p w14:paraId="2B78C64D"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Benefícios oferecidos a funcionários em tempo integral que não são fornecidos a empregados temporários ou em regime de meio período</w:t>
            </w:r>
          </w:p>
        </w:tc>
      </w:tr>
      <w:tr w:rsidR="00D22D69" w:rsidRPr="00D22D69" w14:paraId="3914A063" w14:textId="77777777" w:rsidTr="00D22EFF">
        <w:trPr>
          <w:trHeight w:val="315"/>
        </w:trPr>
        <w:tc>
          <w:tcPr>
            <w:tcW w:w="1707" w:type="dxa"/>
            <w:vMerge/>
            <w:shd w:val="clear" w:color="auto" w:fill="auto"/>
            <w:hideMark/>
          </w:tcPr>
          <w:p w14:paraId="16541A67"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3385A4DB"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401-3</w:t>
            </w:r>
          </w:p>
        </w:tc>
        <w:tc>
          <w:tcPr>
            <w:tcW w:w="6173" w:type="dxa"/>
            <w:shd w:val="clear" w:color="auto" w:fill="auto"/>
            <w:hideMark/>
          </w:tcPr>
          <w:p w14:paraId="29122B5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Licença parental</w:t>
            </w:r>
          </w:p>
        </w:tc>
      </w:tr>
      <w:tr w:rsidR="00D22D69" w:rsidRPr="00D22D69" w14:paraId="7C158394" w14:textId="77777777" w:rsidTr="00D22EFF">
        <w:trPr>
          <w:trHeight w:val="870"/>
        </w:trPr>
        <w:tc>
          <w:tcPr>
            <w:tcW w:w="1707" w:type="dxa"/>
            <w:shd w:val="clear" w:color="auto" w:fill="auto"/>
            <w:hideMark/>
          </w:tcPr>
          <w:p w14:paraId="6759C743"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Gestão das Relações Trabalhistas</w:t>
            </w:r>
          </w:p>
        </w:tc>
        <w:tc>
          <w:tcPr>
            <w:tcW w:w="1400" w:type="dxa"/>
            <w:shd w:val="clear" w:color="auto" w:fill="auto"/>
            <w:noWrap/>
            <w:hideMark/>
          </w:tcPr>
          <w:p w14:paraId="7A3E323F"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402-1</w:t>
            </w:r>
          </w:p>
        </w:tc>
        <w:tc>
          <w:tcPr>
            <w:tcW w:w="6173" w:type="dxa"/>
            <w:shd w:val="clear" w:color="auto" w:fill="auto"/>
            <w:hideMark/>
          </w:tcPr>
          <w:p w14:paraId="3F1AA415"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Prazos mínimos de aviso prévio em relação a mudanças operacionais</w:t>
            </w:r>
          </w:p>
        </w:tc>
      </w:tr>
      <w:tr w:rsidR="00D22D69" w:rsidRPr="00D22D69" w14:paraId="66A17538" w14:textId="77777777" w:rsidTr="00D22EFF">
        <w:trPr>
          <w:trHeight w:val="300"/>
        </w:trPr>
        <w:tc>
          <w:tcPr>
            <w:tcW w:w="1707" w:type="dxa"/>
            <w:vMerge w:val="restart"/>
            <w:shd w:val="clear" w:color="auto" w:fill="auto"/>
            <w:hideMark/>
          </w:tcPr>
          <w:p w14:paraId="6065CFAE"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Saúde e Segurança Ocupacional</w:t>
            </w:r>
          </w:p>
        </w:tc>
        <w:tc>
          <w:tcPr>
            <w:tcW w:w="1400" w:type="dxa"/>
            <w:shd w:val="clear" w:color="auto" w:fill="auto"/>
            <w:noWrap/>
            <w:hideMark/>
          </w:tcPr>
          <w:p w14:paraId="3CDD3D6C"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403-1</w:t>
            </w:r>
          </w:p>
        </w:tc>
        <w:tc>
          <w:tcPr>
            <w:tcW w:w="6173" w:type="dxa"/>
            <w:shd w:val="clear" w:color="auto" w:fill="auto"/>
            <w:hideMark/>
          </w:tcPr>
          <w:p w14:paraId="0E8A31B4"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Sistema de gestão de saúde ocupacional e segurança</w:t>
            </w:r>
          </w:p>
        </w:tc>
      </w:tr>
      <w:tr w:rsidR="00D22D69" w:rsidRPr="00D22D69" w14:paraId="41FCF610" w14:textId="77777777" w:rsidTr="00D22EFF">
        <w:trPr>
          <w:trHeight w:val="300"/>
        </w:trPr>
        <w:tc>
          <w:tcPr>
            <w:tcW w:w="1707" w:type="dxa"/>
            <w:vMerge/>
            <w:shd w:val="clear" w:color="auto" w:fill="auto"/>
            <w:hideMark/>
          </w:tcPr>
          <w:p w14:paraId="5B1AD356"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2F2A7CF5"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403-2</w:t>
            </w:r>
          </w:p>
        </w:tc>
        <w:tc>
          <w:tcPr>
            <w:tcW w:w="6173" w:type="dxa"/>
            <w:shd w:val="clear" w:color="auto" w:fill="auto"/>
            <w:hideMark/>
          </w:tcPr>
          <w:p w14:paraId="0C08A05E"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Identificação de perigos, avaliação de riscos e investigação de incidentes</w:t>
            </w:r>
          </w:p>
        </w:tc>
      </w:tr>
      <w:tr w:rsidR="00D22D69" w:rsidRPr="00D22D69" w14:paraId="121A1194" w14:textId="77777777" w:rsidTr="00D22EFF">
        <w:trPr>
          <w:trHeight w:val="300"/>
        </w:trPr>
        <w:tc>
          <w:tcPr>
            <w:tcW w:w="1707" w:type="dxa"/>
            <w:vMerge/>
            <w:shd w:val="clear" w:color="auto" w:fill="auto"/>
            <w:hideMark/>
          </w:tcPr>
          <w:p w14:paraId="20789B55"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4DEBC559"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403-3</w:t>
            </w:r>
          </w:p>
        </w:tc>
        <w:tc>
          <w:tcPr>
            <w:tcW w:w="6173" w:type="dxa"/>
            <w:shd w:val="clear" w:color="auto" w:fill="auto"/>
            <w:hideMark/>
          </w:tcPr>
          <w:p w14:paraId="68FECD6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Serviços de saúde ocupacional</w:t>
            </w:r>
          </w:p>
        </w:tc>
      </w:tr>
      <w:tr w:rsidR="00D22D69" w:rsidRPr="00D22D69" w14:paraId="3815B47D" w14:textId="77777777" w:rsidTr="00D22EFF">
        <w:trPr>
          <w:trHeight w:val="600"/>
        </w:trPr>
        <w:tc>
          <w:tcPr>
            <w:tcW w:w="1707" w:type="dxa"/>
            <w:vMerge/>
            <w:shd w:val="clear" w:color="auto" w:fill="auto"/>
            <w:hideMark/>
          </w:tcPr>
          <w:p w14:paraId="0D21209A"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4AEC7283"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403-4</w:t>
            </w:r>
          </w:p>
        </w:tc>
        <w:tc>
          <w:tcPr>
            <w:tcW w:w="6173" w:type="dxa"/>
            <w:shd w:val="clear" w:color="auto" w:fill="auto"/>
            <w:hideMark/>
          </w:tcPr>
          <w:p w14:paraId="6BF1D8C3"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Participação do trabalhador, consulta e comunicação sobre saúde e segurança ocupacional</w:t>
            </w:r>
          </w:p>
        </w:tc>
      </w:tr>
      <w:tr w:rsidR="00D22D69" w:rsidRPr="00D22D69" w14:paraId="075848DC" w14:textId="77777777" w:rsidTr="00D22EFF">
        <w:trPr>
          <w:trHeight w:val="300"/>
        </w:trPr>
        <w:tc>
          <w:tcPr>
            <w:tcW w:w="1707" w:type="dxa"/>
            <w:vMerge/>
            <w:shd w:val="clear" w:color="auto" w:fill="auto"/>
            <w:hideMark/>
          </w:tcPr>
          <w:p w14:paraId="33B9FECC"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0170945B"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403-5</w:t>
            </w:r>
          </w:p>
        </w:tc>
        <w:tc>
          <w:tcPr>
            <w:tcW w:w="6173" w:type="dxa"/>
            <w:shd w:val="clear" w:color="auto" w:fill="auto"/>
            <w:hideMark/>
          </w:tcPr>
          <w:p w14:paraId="56F81C08"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Treinamento de trabalhadores em saúde e segurança ocupacional</w:t>
            </w:r>
          </w:p>
        </w:tc>
      </w:tr>
      <w:tr w:rsidR="00D22D69" w:rsidRPr="00D22D69" w14:paraId="07404AFE" w14:textId="77777777" w:rsidTr="00D22EFF">
        <w:trPr>
          <w:trHeight w:val="300"/>
        </w:trPr>
        <w:tc>
          <w:tcPr>
            <w:tcW w:w="1707" w:type="dxa"/>
            <w:vMerge/>
            <w:shd w:val="clear" w:color="auto" w:fill="auto"/>
            <w:hideMark/>
          </w:tcPr>
          <w:p w14:paraId="60EFD8B7"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6C59D88B"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403-6</w:t>
            </w:r>
          </w:p>
        </w:tc>
        <w:tc>
          <w:tcPr>
            <w:tcW w:w="6173" w:type="dxa"/>
            <w:shd w:val="clear" w:color="auto" w:fill="auto"/>
            <w:hideMark/>
          </w:tcPr>
          <w:p w14:paraId="4DD5343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Promoção da saúde do trabalhador</w:t>
            </w:r>
          </w:p>
        </w:tc>
      </w:tr>
      <w:tr w:rsidR="00D22D69" w:rsidRPr="00D22D69" w14:paraId="2A31F451" w14:textId="77777777" w:rsidTr="00D22EFF">
        <w:trPr>
          <w:trHeight w:val="600"/>
        </w:trPr>
        <w:tc>
          <w:tcPr>
            <w:tcW w:w="1707" w:type="dxa"/>
            <w:vMerge/>
            <w:shd w:val="clear" w:color="auto" w:fill="auto"/>
            <w:hideMark/>
          </w:tcPr>
          <w:p w14:paraId="4889AA2B"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645220CA"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403-7</w:t>
            </w:r>
          </w:p>
        </w:tc>
        <w:tc>
          <w:tcPr>
            <w:tcW w:w="6173" w:type="dxa"/>
            <w:shd w:val="clear" w:color="auto" w:fill="auto"/>
            <w:hideMark/>
          </w:tcPr>
          <w:p w14:paraId="3DC0D82C"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Prevenção e mitigação de impactos na saúde e segurança ocupacional diretamente ligados por relações comerciais</w:t>
            </w:r>
          </w:p>
        </w:tc>
      </w:tr>
      <w:tr w:rsidR="00D22D69" w:rsidRPr="00D22D69" w14:paraId="33FDE09F" w14:textId="77777777" w:rsidTr="00D22EFF">
        <w:trPr>
          <w:trHeight w:val="600"/>
        </w:trPr>
        <w:tc>
          <w:tcPr>
            <w:tcW w:w="1707" w:type="dxa"/>
            <w:vMerge/>
            <w:shd w:val="clear" w:color="auto" w:fill="auto"/>
            <w:hideMark/>
          </w:tcPr>
          <w:p w14:paraId="59768338"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3294D33C"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403-8</w:t>
            </w:r>
          </w:p>
        </w:tc>
        <w:tc>
          <w:tcPr>
            <w:tcW w:w="6173" w:type="dxa"/>
            <w:shd w:val="clear" w:color="auto" w:fill="auto"/>
            <w:hideMark/>
          </w:tcPr>
          <w:p w14:paraId="1278811D"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Trabalhadores abrangidos por um sistema de gestão de saúde ocupacional e segurança</w:t>
            </w:r>
          </w:p>
        </w:tc>
      </w:tr>
      <w:tr w:rsidR="00D22D69" w:rsidRPr="00D22D69" w14:paraId="3EE185D2" w14:textId="77777777" w:rsidTr="00D22EFF">
        <w:trPr>
          <w:trHeight w:val="300"/>
        </w:trPr>
        <w:tc>
          <w:tcPr>
            <w:tcW w:w="1707" w:type="dxa"/>
            <w:vMerge/>
            <w:shd w:val="clear" w:color="auto" w:fill="auto"/>
            <w:hideMark/>
          </w:tcPr>
          <w:p w14:paraId="2D9EF83F"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46A6637A"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403-9</w:t>
            </w:r>
          </w:p>
        </w:tc>
        <w:tc>
          <w:tcPr>
            <w:tcW w:w="6173" w:type="dxa"/>
            <w:shd w:val="clear" w:color="auto" w:fill="auto"/>
            <w:hideMark/>
          </w:tcPr>
          <w:p w14:paraId="784309F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Lesões relacionadas ao trabalho</w:t>
            </w:r>
          </w:p>
        </w:tc>
      </w:tr>
      <w:tr w:rsidR="00D22D69" w:rsidRPr="00D22D69" w14:paraId="170D5DE7" w14:textId="77777777" w:rsidTr="00D22EFF">
        <w:trPr>
          <w:trHeight w:val="315"/>
        </w:trPr>
        <w:tc>
          <w:tcPr>
            <w:tcW w:w="1707" w:type="dxa"/>
            <w:vMerge/>
            <w:shd w:val="clear" w:color="auto" w:fill="auto"/>
            <w:hideMark/>
          </w:tcPr>
          <w:p w14:paraId="6CD79B55"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266F081D"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403-10</w:t>
            </w:r>
          </w:p>
        </w:tc>
        <w:tc>
          <w:tcPr>
            <w:tcW w:w="6173" w:type="dxa"/>
            <w:shd w:val="clear" w:color="auto" w:fill="auto"/>
            <w:hideMark/>
          </w:tcPr>
          <w:p w14:paraId="0C96FA4F"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Problemas de saúde relacionados ao trabalho</w:t>
            </w:r>
          </w:p>
        </w:tc>
      </w:tr>
      <w:tr w:rsidR="00D22D69" w:rsidRPr="00D22D69" w14:paraId="3EE603EC" w14:textId="77777777" w:rsidTr="00D22EFF">
        <w:trPr>
          <w:trHeight w:val="300"/>
        </w:trPr>
        <w:tc>
          <w:tcPr>
            <w:tcW w:w="1707" w:type="dxa"/>
            <w:vMerge w:val="restart"/>
            <w:shd w:val="clear" w:color="auto" w:fill="auto"/>
            <w:hideMark/>
          </w:tcPr>
          <w:p w14:paraId="76D8190B"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Treinamento e Educação</w:t>
            </w:r>
          </w:p>
        </w:tc>
        <w:tc>
          <w:tcPr>
            <w:tcW w:w="1400" w:type="dxa"/>
            <w:shd w:val="clear" w:color="auto" w:fill="auto"/>
            <w:noWrap/>
            <w:hideMark/>
          </w:tcPr>
          <w:p w14:paraId="5B45A8B1"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404-1</w:t>
            </w:r>
          </w:p>
        </w:tc>
        <w:tc>
          <w:tcPr>
            <w:tcW w:w="6173" w:type="dxa"/>
            <w:shd w:val="clear" w:color="auto" w:fill="auto"/>
            <w:hideMark/>
          </w:tcPr>
          <w:p w14:paraId="1A656525"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Média de horas de treinamento por ano por funcionário</w:t>
            </w:r>
          </w:p>
        </w:tc>
      </w:tr>
      <w:tr w:rsidR="00D22D69" w:rsidRPr="00D22D69" w14:paraId="62355A13" w14:textId="77777777" w:rsidTr="00D22EFF">
        <w:trPr>
          <w:trHeight w:val="600"/>
        </w:trPr>
        <w:tc>
          <w:tcPr>
            <w:tcW w:w="1707" w:type="dxa"/>
            <w:vMerge/>
            <w:shd w:val="clear" w:color="auto" w:fill="auto"/>
            <w:hideMark/>
          </w:tcPr>
          <w:p w14:paraId="19315984"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1543DC3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404-2</w:t>
            </w:r>
          </w:p>
        </w:tc>
        <w:tc>
          <w:tcPr>
            <w:tcW w:w="6173" w:type="dxa"/>
            <w:shd w:val="clear" w:color="auto" w:fill="auto"/>
            <w:hideMark/>
          </w:tcPr>
          <w:p w14:paraId="67632954"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Programas para melhorar as habilidades dos funcionários e os programas de assistência de transição</w:t>
            </w:r>
          </w:p>
        </w:tc>
      </w:tr>
      <w:tr w:rsidR="00D22D69" w:rsidRPr="00D22D69" w14:paraId="45AB9B50" w14:textId="77777777" w:rsidTr="00D22EFF">
        <w:trPr>
          <w:trHeight w:val="615"/>
        </w:trPr>
        <w:tc>
          <w:tcPr>
            <w:tcW w:w="1707" w:type="dxa"/>
            <w:vMerge/>
            <w:shd w:val="clear" w:color="auto" w:fill="auto"/>
            <w:hideMark/>
          </w:tcPr>
          <w:p w14:paraId="33CD6D95"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6AF1CF6F"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404-3</w:t>
            </w:r>
          </w:p>
        </w:tc>
        <w:tc>
          <w:tcPr>
            <w:tcW w:w="6173" w:type="dxa"/>
            <w:shd w:val="clear" w:color="auto" w:fill="auto"/>
            <w:hideMark/>
          </w:tcPr>
          <w:p w14:paraId="59AFBB27"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Percentual de empregados que recebem regularmente análises de desempenho e desenvolvimento de carreira</w:t>
            </w:r>
          </w:p>
        </w:tc>
      </w:tr>
      <w:tr w:rsidR="00D22D69" w:rsidRPr="00D22D69" w14:paraId="68BA9F49" w14:textId="77777777" w:rsidTr="00D22EFF">
        <w:trPr>
          <w:trHeight w:val="405"/>
        </w:trPr>
        <w:tc>
          <w:tcPr>
            <w:tcW w:w="1707" w:type="dxa"/>
            <w:vMerge w:val="restart"/>
            <w:shd w:val="clear" w:color="auto" w:fill="auto"/>
            <w:hideMark/>
          </w:tcPr>
          <w:p w14:paraId="6372253A"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Diversidade e Igualdade de Oportunidades</w:t>
            </w:r>
          </w:p>
        </w:tc>
        <w:tc>
          <w:tcPr>
            <w:tcW w:w="1400" w:type="dxa"/>
            <w:shd w:val="clear" w:color="auto" w:fill="auto"/>
            <w:noWrap/>
            <w:hideMark/>
          </w:tcPr>
          <w:p w14:paraId="2D0B01C1"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405-1</w:t>
            </w:r>
          </w:p>
        </w:tc>
        <w:tc>
          <w:tcPr>
            <w:tcW w:w="6173" w:type="dxa"/>
            <w:shd w:val="clear" w:color="auto" w:fill="auto"/>
            <w:hideMark/>
          </w:tcPr>
          <w:p w14:paraId="1A4F213B"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Diversidade de órgãos de governança e funcionários</w:t>
            </w:r>
          </w:p>
        </w:tc>
      </w:tr>
      <w:tr w:rsidR="00D22D69" w:rsidRPr="00D22D69" w14:paraId="0AF27E0D" w14:textId="77777777" w:rsidTr="00D22EFF">
        <w:trPr>
          <w:trHeight w:val="405"/>
        </w:trPr>
        <w:tc>
          <w:tcPr>
            <w:tcW w:w="1707" w:type="dxa"/>
            <w:vMerge/>
            <w:shd w:val="clear" w:color="auto" w:fill="auto"/>
            <w:hideMark/>
          </w:tcPr>
          <w:p w14:paraId="5A7D9EF7"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204855B4"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405-2</w:t>
            </w:r>
          </w:p>
        </w:tc>
        <w:tc>
          <w:tcPr>
            <w:tcW w:w="6173" w:type="dxa"/>
            <w:shd w:val="clear" w:color="auto" w:fill="auto"/>
            <w:hideMark/>
          </w:tcPr>
          <w:p w14:paraId="120CAA6B"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Taxa de salário básico e remuneração de mulheres para homens</w:t>
            </w:r>
          </w:p>
        </w:tc>
      </w:tr>
      <w:tr w:rsidR="00D22D69" w:rsidRPr="00D22D69" w14:paraId="563FE6E2" w14:textId="77777777" w:rsidTr="00D22EFF">
        <w:trPr>
          <w:trHeight w:val="585"/>
        </w:trPr>
        <w:tc>
          <w:tcPr>
            <w:tcW w:w="1707" w:type="dxa"/>
            <w:shd w:val="clear" w:color="auto" w:fill="auto"/>
            <w:hideMark/>
          </w:tcPr>
          <w:p w14:paraId="13DA6E86"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Não discriminação</w:t>
            </w:r>
          </w:p>
        </w:tc>
        <w:tc>
          <w:tcPr>
            <w:tcW w:w="1400" w:type="dxa"/>
            <w:shd w:val="clear" w:color="auto" w:fill="auto"/>
            <w:noWrap/>
            <w:hideMark/>
          </w:tcPr>
          <w:p w14:paraId="3DCECE31"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406-1</w:t>
            </w:r>
          </w:p>
        </w:tc>
        <w:tc>
          <w:tcPr>
            <w:tcW w:w="6173" w:type="dxa"/>
            <w:shd w:val="clear" w:color="auto" w:fill="auto"/>
            <w:hideMark/>
          </w:tcPr>
          <w:p w14:paraId="41C8FA87"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Incidentes de discriminação e ações corretivas tomadas</w:t>
            </w:r>
          </w:p>
        </w:tc>
      </w:tr>
      <w:tr w:rsidR="00D22D69" w:rsidRPr="00D22D69" w14:paraId="3DA79B14" w14:textId="77777777" w:rsidTr="00D22EFF">
        <w:trPr>
          <w:trHeight w:val="1155"/>
        </w:trPr>
        <w:tc>
          <w:tcPr>
            <w:tcW w:w="1707" w:type="dxa"/>
            <w:shd w:val="clear" w:color="auto" w:fill="auto"/>
            <w:hideMark/>
          </w:tcPr>
          <w:p w14:paraId="6C893DC5"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Liberdade de Associação e Negociação Coletiva</w:t>
            </w:r>
          </w:p>
        </w:tc>
        <w:tc>
          <w:tcPr>
            <w:tcW w:w="1400" w:type="dxa"/>
            <w:shd w:val="clear" w:color="auto" w:fill="auto"/>
            <w:noWrap/>
            <w:hideMark/>
          </w:tcPr>
          <w:p w14:paraId="6813AE51"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407-1</w:t>
            </w:r>
          </w:p>
        </w:tc>
        <w:tc>
          <w:tcPr>
            <w:tcW w:w="6173" w:type="dxa"/>
            <w:shd w:val="clear" w:color="auto" w:fill="auto"/>
            <w:hideMark/>
          </w:tcPr>
          <w:p w14:paraId="56134E17"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Operações e fornecedores em que o direito à liberdade de associação e negociação coletiva pode estar em risco</w:t>
            </w:r>
          </w:p>
        </w:tc>
      </w:tr>
      <w:tr w:rsidR="00D22D69" w:rsidRPr="00D22D69" w14:paraId="0201EB78" w14:textId="77777777" w:rsidTr="00D22EFF">
        <w:trPr>
          <w:trHeight w:val="615"/>
        </w:trPr>
        <w:tc>
          <w:tcPr>
            <w:tcW w:w="1707" w:type="dxa"/>
            <w:shd w:val="clear" w:color="auto" w:fill="auto"/>
            <w:hideMark/>
          </w:tcPr>
          <w:p w14:paraId="61F5161F"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Trabalho Infantil</w:t>
            </w:r>
          </w:p>
        </w:tc>
        <w:tc>
          <w:tcPr>
            <w:tcW w:w="1400" w:type="dxa"/>
            <w:shd w:val="clear" w:color="auto" w:fill="auto"/>
            <w:noWrap/>
            <w:hideMark/>
          </w:tcPr>
          <w:p w14:paraId="125E8486"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408-1</w:t>
            </w:r>
          </w:p>
        </w:tc>
        <w:tc>
          <w:tcPr>
            <w:tcW w:w="6173" w:type="dxa"/>
            <w:shd w:val="clear" w:color="auto" w:fill="auto"/>
            <w:hideMark/>
          </w:tcPr>
          <w:p w14:paraId="4F0EB350"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Operações e fornecedores com risco significativo de ocorrência de trabalho infantil</w:t>
            </w:r>
          </w:p>
        </w:tc>
      </w:tr>
      <w:tr w:rsidR="00D22D69" w:rsidRPr="00D22D69" w14:paraId="0FAD2760" w14:textId="77777777" w:rsidTr="00D22EFF">
        <w:trPr>
          <w:trHeight w:val="870"/>
        </w:trPr>
        <w:tc>
          <w:tcPr>
            <w:tcW w:w="1707" w:type="dxa"/>
            <w:shd w:val="clear" w:color="auto" w:fill="auto"/>
            <w:hideMark/>
          </w:tcPr>
          <w:p w14:paraId="1EB3012F"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Trabalho Forçado ou Compulsório</w:t>
            </w:r>
          </w:p>
        </w:tc>
        <w:tc>
          <w:tcPr>
            <w:tcW w:w="1400" w:type="dxa"/>
            <w:shd w:val="clear" w:color="auto" w:fill="auto"/>
            <w:noWrap/>
            <w:hideMark/>
          </w:tcPr>
          <w:p w14:paraId="54413075"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409-1</w:t>
            </w:r>
          </w:p>
        </w:tc>
        <w:tc>
          <w:tcPr>
            <w:tcW w:w="6173" w:type="dxa"/>
            <w:shd w:val="clear" w:color="auto" w:fill="auto"/>
            <w:hideMark/>
          </w:tcPr>
          <w:p w14:paraId="63ECD4D0"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Operações e fornecedores em risco significativo de ocorrência de trabalho forçado ou compulsório</w:t>
            </w:r>
          </w:p>
        </w:tc>
      </w:tr>
      <w:tr w:rsidR="00D22D69" w:rsidRPr="00D22D69" w14:paraId="6F11FBD9" w14:textId="77777777" w:rsidTr="00D22EFF">
        <w:trPr>
          <w:trHeight w:val="615"/>
        </w:trPr>
        <w:tc>
          <w:tcPr>
            <w:tcW w:w="1707" w:type="dxa"/>
            <w:shd w:val="clear" w:color="auto" w:fill="auto"/>
            <w:hideMark/>
          </w:tcPr>
          <w:p w14:paraId="00CC525D"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Práticas de segurança</w:t>
            </w:r>
          </w:p>
        </w:tc>
        <w:tc>
          <w:tcPr>
            <w:tcW w:w="1400" w:type="dxa"/>
            <w:shd w:val="clear" w:color="auto" w:fill="auto"/>
            <w:noWrap/>
            <w:hideMark/>
          </w:tcPr>
          <w:p w14:paraId="39806E03"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410-1</w:t>
            </w:r>
          </w:p>
        </w:tc>
        <w:tc>
          <w:tcPr>
            <w:tcW w:w="6173" w:type="dxa"/>
            <w:shd w:val="clear" w:color="auto" w:fill="auto"/>
            <w:hideMark/>
          </w:tcPr>
          <w:p w14:paraId="0F0933B9"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Pessoal de segurança treinado em políticas ou procedimentos de direitos humanos</w:t>
            </w:r>
          </w:p>
        </w:tc>
      </w:tr>
      <w:tr w:rsidR="00D22D69" w:rsidRPr="00D22D69" w14:paraId="7D29C6D4" w14:textId="77777777" w:rsidTr="00D22EFF">
        <w:trPr>
          <w:trHeight w:val="870"/>
        </w:trPr>
        <w:tc>
          <w:tcPr>
            <w:tcW w:w="1707" w:type="dxa"/>
            <w:shd w:val="clear" w:color="auto" w:fill="auto"/>
            <w:hideMark/>
          </w:tcPr>
          <w:p w14:paraId="1FF7A427"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Direitos dos Povos Indígenas</w:t>
            </w:r>
          </w:p>
        </w:tc>
        <w:tc>
          <w:tcPr>
            <w:tcW w:w="1400" w:type="dxa"/>
            <w:shd w:val="clear" w:color="auto" w:fill="auto"/>
            <w:noWrap/>
            <w:hideMark/>
          </w:tcPr>
          <w:p w14:paraId="7A612A6E"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411-1</w:t>
            </w:r>
          </w:p>
        </w:tc>
        <w:tc>
          <w:tcPr>
            <w:tcW w:w="6173" w:type="dxa"/>
            <w:shd w:val="clear" w:color="auto" w:fill="auto"/>
            <w:hideMark/>
          </w:tcPr>
          <w:p w14:paraId="7CA5BBFD"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Incidentes de violações envolvendo direitos dos povos indígenas</w:t>
            </w:r>
          </w:p>
        </w:tc>
      </w:tr>
      <w:tr w:rsidR="00D22D69" w:rsidRPr="00D22D69" w14:paraId="303EAE95" w14:textId="77777777" w:rsidTr="00D22EFF">
        <w:trPr>
          <w:trHeight w:val="600"/>
        </w:trPr>
        <w:tc>
          <w:tcPr>
            <w:tcW w:w="1707" w:type="dxa"/>
            <w:vMerge w:val="restart"/>
            <w:shd w:val="clear" w:color="auto" w:fill="auto"/>
            <w:hideMark/>
          </w:tcPr>
          <w:p w14:paraId="46BD9ED6" w14:textId="77777777" w:rsidR="00D22D69" w:rsidRPr="00D22D69" w:rsidRDefault="00D22D69"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Avaliação de direitos humanos</w:t>
            </w:r>
          </w:p>
        </w:tc>
        <w:tc>
          <w:tcPr>
            <w:tcW w:w="1400" w:type="dxa"/>
            <w:shd w:val="clear" w:color="auto" w:fill="auto"/>
            <w:noWrap/>
            <w:hideMark/>
          </w:tcPr>
          <w:p w14:paraId="73836044"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412-1</w:t>
            </w:r>
          </w:p>
        </w:tc>
        <w:tc>
          <w:tcPr>
            <w:tcW w:w="6173" w:type="dxa"/>
            <w:shd w:val="clear" w:color="auto" w:fill="auto"/>
            <w:hideMark/>
          </w:tcPr>
          <w:p w14:paraId="1210F975"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Operações que foram submetidas a revisões de direitos humanos ou avaliações de impacto</w:t>
            </w:r>
          </w:p>
        </w:tc>
      </w:tr>
      <w:tr w:rsidR="00D22D69" w:rsidRPr="00D22D69" w14:paraId="0D7FBCAF" w14:textId="77777777" w:rsidTr="00D22EFF">
        <w:trPr>
          <w:trHeight w:val="600"/>
        </w:trPr>
        <w:tc>
          <w:tcPr>
            <w:tcW w:w="1707" w:type="dxa"/>
            <w:vMerge/>
            <w:shd w:val="clear" w:color="auto" w:fill="auto"/>
            <w:hideMark/>
          </w:tcPr>
          <w:p w14:paraId="6FBC62FE"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292E9473"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412-2</w:t>
            </w:r>
          </w:p>
        </w:tc>
        <w:tc>
          <w:tcPr>
            <w:tcW w:w="6173" w:type="dxa"/>
            <w:shd w:val="clear" w:color="auto" w:fill="auto"/>
            <w:hideMark/>
          </w:tcPr>
          <w:p w14:paraId="7B01C216"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Treinamento de funcionários sobre políticas ou procedimentos de direitos humanos</w:t>
            </w:r>
          </w:p>
        </w:tc>
      </w:tr>
      <w:tr w:rsidR="00D22D69" w:rsidRPr="00D22D69" w14:paraId="53DE2365" w14:textId="77777777" w:rsidTr="00D22EFF">
        <w:trPr>
          <w:trHeight w:val="915"/>
        </w:trPr>
        <w:tc>
          <w:tcPr>
            <w:tcW w:w="1707" w:type="dxa"/>
            <w:vMerge/>
            <w:shd w:val="clear" w:color="auto" w:fill="auto"/>
            <w:hideMark/>
          </w:tcPr>
          <w:p w14:paraId="78762E42" w14:textId="77777777" w:rsidR="00D22D69" w:rsidRPr="00D22D69" w:rsidRDefault="00D22D69"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68D98C04"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412-3</w:t>
            </w:r>
          </w:p>
        </w:tc>
        <w:tc>
          <w:tcPr>
            <w:tcW w:w="6173" w:type="dxa"/>
            <w:shd w:val="clear" w:color="auto" w:fill="auto"/>
            <w:hideMark/>
          </w:tcPr>
          <w:p w14:paraId="7CDD60F9"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Acordos e contratos de investimentos significativos que incluam cláusulas referentes a direitos humanos ou que foram submetidos a avaliações referentes a direitos humanos</w:t>
            </w:r>
          </w:p>
        </w:tc>
      </w:tr>
      <w:tr w:rsidR="00D22EFF" w:rsidRPr="00D22D69" w14:paraId="3151BFC4" w14:textId="77777777" w:rsidTr="00D22EFF">
        <w:trPr>
          <w:trHeight w:val="600"/>
        </w:trPr>
        <w:tc>
          <w:tcPr>
            <w:tcW w:w="1707" w:type="dxa"/>
            <w:vMerge w:val="restart"/>
            <w:shd w:val="clear" w:color="auto" w:fill="auto"/>
            <w:hideMark/>
          </w:tcPr>
          <w:p w14:paraId="0C00CC1C" w14:textId="77777777" w:rsidR="00D22EFF" w:rsidRPr="00D22D69" w:rsidRDefault="00D22EFF" w:rsidP="002745DF">
            <w:pPr>
              <w:spacing w:line="240" w:lineRule="auto"/>
              <w:jc w:val="center"/>
              <w:rPr>
                <w:rFonts w:ascii="Times New Roman" w:hAnsi="Times New Roman" w:cs="Times New Roman"/>
                <w:b/>
                <w:bCs/>
                <w:color w:val="000000"/>
              </w:rPr>
            </w:pPr>
            <w:r w:rsidRPr="00D22D69">
              <w:rPr>
                <w:rFonts w:ascii="Times New Roman" w:hAnsi="Times New Roman" w:cs="Times New Roman"/>
                <w:b/>
                <w:bCs/>
                <w:color w:val="000000"/>
              </w:rPr>
              <w:t>Comunidades locais</w:t>
            </w:r>
          </w:p>
        </w:tc>
        <w:tc>
          <w:tcPr>
            <w:tcW w:w="1400" w:type="dxa"/>
            <w:shd w:val="clear" w:color="auto" w:fill="auto"/>
            <w:noWrap/>
            <w:hideMark/>
          </w:tcPr>
          <w:p w14:paraId="15A30FAA"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413-1</w:t>
            </w:r>
          </w:p>
        </w:tc>
        <w:tc>
          <w:tcPr>
            <w:tcW w:w="6173" w:type="dxa"/>
            <w:shd w:val="clear" w:color="auto" w:fill="auto"/>
            <w:hideMark/>
          </w:tcPr>
          <w:p w14:paraId="2B9C96CB"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Operações com envolvimento da comunidade local, avaliações de impacto e programas de desenvolvimento</w:t>
            </w:r>
          </w:p>
        </w:tc>
      </w:tr>
      <w:tr w:rsidR="00D22EFF" w:rsidRPr="00D22D69" w14:paraId="457B6E57" w14:textId="77777777" w:rsidTr="00D22EFF">
        <w:trPr>
          <w:trHeight w:val="615"/>
        </w:trPr>
        <w:tc>
          <w:tcPr>
            <w:tcW w:w="1707" w:type="dxa"/>
            <w:vMerge/>
            <w:shd w:val="clear" w:color="auto" w:fill="auto"/>
            <w:hideMark/>
          </w:tcPr>
          <w:p w14:paraId="283689C3" w14:textId="77777777" w:rsidR="00D22EFF" w:rsidRPr="00D22D69" w:rsidRDefault="00D22EFF" w:rsidP="002745DF">
            <w:pPr>
              <w:spacing w:line="240" w:lineRule="auto"/>
              <w:jc w:val="left"/>
              <w:rPr>
                <w:rFonts w:ascii="Times New Roman" w:hAnsi="Times New Roman" w:cs="Times New Roman"/>
                <w:b/>
                <w:bCs/>
                <w:color w:val="000000"/>
              </w:rPr>
            </w:pPr>
          </w:p>
        </w:tc>
        <w:tc>
          <w:tcPr>
            <w:tcW w:w="1400" w:type="dxa"/>
            <w:shd w:val="clear" w:color="auto" w:fill="auto"/>
            <w:noWrap/>
            <w:hideMark/>
          </w:tcPr>
          <w:p w14:paraId="4F4FC339"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413-2</w:t>
            </w:r>
          </w:p>
        </w:tc>
        <w:tc>
          <w:tcPr>
            <w:tcW w:w="6173" w:type="dxa"/>
            <w:shd w:val="clear" w:color="auto" w:fill="auto"/>
            <w:hideMark/>
          </w:tcPr>
          <w:p w14:paraId="42014330"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Operações com impactos negativos significativos reais e potenciais nas comunidades locais</w:t>
            </w:r>
          </w:p>
        </w:tc>
      </w:tr>
      <w:tr w:rsidR="00D22EFF" w:rsidRPr="00D22D69" w14:paraId="4BB634A6" w14:textId="77777777" w:rsidTr="00D22EFF">
        <w:trPr>
          <w:trHeight w:val="615"/>
        </w:trPr>
        <w:tc>
          <w:tcPr>
            <w:tcW w:w="1707" w:type="dxa"/>
            <w:vMerge/>
            <w:shd w:val="clear" w:color="auto" w:fill="auto"/>
          </w:tcPr>
          <w:p w14:paraId="7201D607" w14:textId="77777777" w:rsidR="00D22EFF" w:rsidRPr="00D22D69" w:rsidRDefault="00D22EFF" w:rsidP="002745DF">
            <w:pPr>
              <w:spacing w:line="240" w:lineRule="auto"/>
              <w:jc w:val="left"/>
              <w:rPr>
                <w:rFonts w:ascii="Times New Roman" w:hAnsi="Times New Roman" w:cs="Times New Roman"/>
                <w:b/>
                <w:bCs/>
                <w:color w:val="000000"/>
              </w:rPr>
            </w:pPr>
          </w:p>
        </w:tc>
        <w:tc>
          <w:tcPr>
            <w:tcW w:w="1400" w:type="dxa"/>
            <w:shd w:val="clear" w:color="auto" w:fill="auto"/>
            <w:noWrap/>
          </w:tcPr>
          <w:p w14:paraId="4B7CCCD8" w14:textId="416A5B34" w:rsidR="00D22EFF" w:rsidRPr="00D22D69" w:rsidRDefault="00D22EFF" w:rsidP="002745DF">
            <w:pPr>
              <w:spacing w:line="240" w:lineRule="auto"/>
              <w:jc w:val="center"/>
              <w:rPr>
                <w:rFonts w:ascii="Times New Roman" w:hAnsi="Times New Roman" w:cs="Times New Roman"/>
                <w:color w:val="000000"/>
              </w:rPr>
            </w:pPr>
            <w:r>
              <w:rPr>
                <w:rFonts w:ascii="Times New Roman" w:hAnsi="Times New Roman" w:cs="Times New Roman"/>
                <w:color w:val="000000"/>
              </w:rPr>
              <w:t>413-3X</w:t>
            </w:r>
          </w:p>
        </w:tc>
        <w:tc>
          <w:tcPr>
            <w:tcW w:w="6173" w:type="dxa"/>
            <w:shd w:val="clear" w:color="auto" w:fill="auto"/>
          </w:tcPr>
          <w:p w14:paraId="0DCB4F84" w14:textId="7BE3637B" w:rsidR="00D22EFF" w:rsidRPr="00D22D69" w:rsidRDefault="00D22EFF" w:rsidP="002745DF">
            <w:pPr>
              <w:spacing w:line="240" w:lineRule="auto"/>
              <w:jc w:val="center"/>
              <w:rPr>
                <w:rFonts w:ascii="Times New Roman" w:hAnsi="Times New Roman" w:cs="Times New Roman"/>
                <w:color w:val="000000"/>
              </w:rPr>
            </w:pPr>
            <w:r>
              <w:rPr>
                <w:rFonts w:ascii="Times New Roman" w:hAnsi="Times New Roman" w:cs="Times New Roman"/>
                <w:color w:val="000000"/>
              </w:rPr>
              <w:t>N</w:t>
            </w:r>
            <w:r w:rsidRPr="00D22EFF">
              <w:rPr>
                <w:rFonts w:ascii="Times New Roman" w:hAnsi="Times New Roman" w:cs="Times New Roman"/>
                <w:color w:val="000000"/>
              </w:rPr>
              <w:t>úmero de pessoas voluntária e involuntariamente deslocado e / ou reembolsado por desenvolvimento, dividido por projeto</w:t>
            </w:r>
          </w:p>
        </w:tc>
      </w:tr>
      <w:tr w:rsidR="00D22D69" w:rsidRPr="00D22D69" w14:paraId="3E218E12" w14:textId="77777777" w:rsidTr="00D22EFF">
        <w:trPr>
          <w:trHeight w:val="300"/>
        </w:trPr>
        <w:tc>
          <w:tcPr>
            <w:tcW w:w="1707" w:type="dxa"/>
            <w:vMerge w:val="restart"/>
            <w:shd w:val="clear" w:color="auto" w:fill="auto"/>
            <w:hideMark/>
          </w:tcPr>
          <w:p w14:paraId="2B44DAA5" w14:textId="77777777" w:rsidR="00D22D69" w:rsidRPr="00D22D69" w:rsidRDefault="00D22D69" w:rsidP="002745DF">
            <w:pPr>
              <w:spacing w:line="240" w:lineRule="auto"/>
              <w:jc w:val="center"/>
              <w:rPr>
                <w:rFonts w:ascii="Times New Roman" w:hAnsi="Times New Roman" w:cs="Times New Roman"/>
                <w:b/>
                <w:bCs/>
              </w:rPr>
            </w:pPr>
            <w:r w:rsidRPr="00D22D69">
              <w:rPr>
                <w:rFonts w:ascii="Times New Roman" w:hAnsi="Times New Roman" w:cs="Times New Roman"/>
                <w:b/>
                <w:bCs/>
              </w:rPr>
              <w:t>Avaliação Social Fornecedores</w:t>
            </w:r>
          </w:p>
        </w:tc>
        <w:tc>
          <w:tcPr>
            <w:tcW w:w="1400" w:type="dxa"/>
            <w:shd w:val="clear" w:color="auto" w:fill="auto"/>
            <w:noWrap/>
            <w:hideMark/>
          </w:tcPr>
          <w:p w14:paraId="0B84BA05"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414-1</w:t>
            </w:r>
          </w:p>
        </w:tc>
        <w:tc>
          <w:tcPr>
            <w:tcW w:w="6173" w:type="dxa"/>
            <w:shd w:val="clear" w:color="auto" w:fill="auto"/>
            <w:hideMark/>
          </w:tcPr>
          <w:p w14:paraId="7DE10FA1"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Novos fornecedores que foram selecionados usando critérios sociais</w:t>
            </w:r>
          </w:p>
        </w:tc>
      </w:tr>
      <w:tr w:rsidR="00D22D69" w:rsidRPr="00D22D69" w14:paraId="51AB0087" w14:textId="77777777" w:rsidTr="00D22EFF">
        <w:trPr>
          <w:trHeight w:val="315"/>
        </w:trPr>
        <w:tc>
          <w:tcPr>
            <w:tcW w:w="1707" w:type="dxa"/>
            <w:vMerge/>
            <w:shd w:val="clear" w:color="auto" w:fill="auto"/>
            <w:hideMark/>
          </w:tcPr>
          <w:p w14:paraId="285428AD" w14:textId="77777777" w:rsidR="00D22D69" w:rsidRPr="00D22D69" w:rsidRDefault="00D22D69" w:rsidP="002745DF">
            <w:pPr>
              <w:spacing w:line="240" w:lineRule="auto"/>
              <w:jc w:val="left"/>
              <w:rPr>
                <w:rFonts w:ascii="Times New Roman" w:hAnsi="Times New Roman" w:cs="Times New Roman"/>
                <w:b/>
                <w:bCs/>
              </w:rPr>
            </w:pPr>
          </w:p>
        </w:tc>
        <w:tc>
          <w:tcPr>
            <w:tcW w:w="1400" w:type="dxa"/>
            <w:shd w:val="clear" w:color="auto" w:fill="auto"/>
            <w:noWrap/>
            <w:hideMark/>
          </w:tcPr>
          <w:p w14:paraId="3FA92A0C"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414-2</w:t>
            </w:r>
          </w:p>
        </w:tc>
        <w:tc>
          <w:tcPr>
            <w:tcW w:w="6173" w:type="dxa"/>
            <w:shd w:val="clear" w:color="auto" w:fill="auto"/>
            <w:hideMark/>
          </w:tcPr>
          <w:p w14:paraId="57BEE6D9"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Impactos sociais negativos na cadeia de suprimentos e ações tomadas</w:t>
            </w:r>
          </w:p>
        </w:tc>
      </w:tr>
      <w:tr w:rsidR="00D22D69" w:rsidRPr="00D22D69" w14:paraId="7A17ABE6" w14:textId="77777777" w:rsidTr="00D22EFF">
        <w:trPr>
          <w:trHeight w:val="570"/>
        </w:trPr>
        <w:tc>
          <w:tcPr>
            <w:tcW w:w="1707" w:type="dxa"/>
            <w:shd w:val="clear" w:color="auto" w:fill="auto"/>
            <w:hideMark/>
          </w:tcPr>
          <w:p w14:paraId="284011E3" w14:textId="77777777" w:rsidR="00D22D69" w:rsidRPr="00D22D69" w:rsidRDefault="00D22D69" w:rsidP="002745DF">
            <w:pPr>
              <w:spacing w:line="240" w:lineRule="auto"/>
              <w:jc w:val="center"/>
              <w:rPr>
                <w:rFonts w:ascii="Times New Roman" w:hAnsi="Times New Roman" w:cs="Times New Roman"/>
                <w:b/>
                <w:bCs/>
              </w:rPr>
            </w:pPr>
            <w:r w:rsidRPr="00D22D69">
              <w:rPr>
                <w:rFonts w:ascii="Times New Roman" w:hAnsi="Times New Roman" w:cs="Times New Roman"/>
                <w:b/>
                <w:bCs/>
              </w:rPr>
              <w:lastRenderedPageBreak/>
              <w:t>Políticas públicas</w:t>
            </w:r>
          </w:p>
        </w:tc>
        <w:tc>
          <w:tcPr>
            <w:tcW w:w="1400" w:type="dxa"/>
            <w:shd w:val="clear" w:color="auto" w:fill="auto"/>
            <w:noWrap/>
            <w:hideMark/>
          </w:tcPr>
          <w:p w14:paraId="3CFAF8F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415-1</w:t>
            </w:r>
          </w:p>
        </w:tc>
        <w:tc>
          <w:tcPr>
            <w:tcW w:w="6173" w:type="dxa"/>
            <w:shd w:val="clear" w:color="auto" w:fill="auto"/>
            <w:hideMark/>
          </w:tcPr>
          <w:p w14:paraId="032D40B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Contribuições Políticas</w:t>
            </w:r>
          </w:p>
        </w:tc>
      </w:tr>
      <w:tr w:rsidR="00D22D69" w:rsidRPr="00D22D69" w14:paraId="14A47967" w14:textId="77777777" w:rsidTr="00D22EFF">
        <w:trPr>
          <w:trHeight w:val="600"/>
        </w:trPr>
        <w:tc>
          <w:tcPr>
            <w:tcW w:w="1707" w:type="dxa"/>
            <w:vMerge w:val="restart"/>
            <w:shd w:val="clear" w:color="auto" w:fill="auto"/>
            <w:hideMark/>
          </w:tcPr>
          <w:p w14:paraId="792AA272" w14:textId="77777777" w:rsidR="00D22D69" w:rsidRPr="00D22D69" w:rsidRDefault="00D22D69" w:rsidP="002745DF">
            <w:pPr>
              <w:spacing w:line="240" w:lineRule="auto"/>
              <w:jc w:val="center"/>
              <w:rPr>
                <w:rFonts w:ascii="Times New Roman" w:hAnsi="Times New Roman" w:cs="Times New Roman"/>
                <w:b/>
                <w:bCs/>
              </w:rPr>
            </w:pPr>
            <w:r w:rsidRPr="00D22D69">
              <w:rPr>
                <w:rFonts w:ascii="Times New Roman" w:hAnsi="Times New Roman" w:cs="Times New Roman"/>
                <w:b/>
                <w:bCs/>
              </w:rPr>
              <w:t>Saúde e Segurança do Cliente</w:t>
            </w:r>
          </w:p>
        </w:tc>
        <w:tc>
          <w:tcPr>
            <w:tcW w:w="1400" w:type="dxa"/>
            <w:shd w:val="clear" w:color="auto" w:fill="auto"/>
            <w:noWrap/>
            <w:hideMark/>
          </w:tcPr>
          <w:p w14:paraId="73A6E4F9"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416-1</w:t>
            </w:r>
          </w:p>
        </w:tc>
        <w:tc>
          <w:tcPr>
            <w:tcW w:w="6173" w:type="dxa"/>
            <w:shd w:val="clear" w:color="auto" w:fill="auto"/>
            <w:hideMark/>
          </w:tcPr>
          <w:p w14:paraId="64AB248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Avaliação dos impactos na saúde e segurança de categorias de produtos e serviços</w:t>
            </w:r>
          </w:p>
        </w:tc>
      </w:tr>
      <w:tr w:rsidR="00D22D69" w:rsidRPr="00D22D69" w14:paraId="086B5306" w14:textId="77777777" w:rsidTr="00D22EFF">
        <w:trPr>
          <w:trHeight w:val="615"/>
        </w:trPr>
        <w:tc>
          <w:tcPr>
            <w:tcW w:w="1707" w:type="dxa"/>
            <w:vMerge/>
            <w:shd w:val="clear" w:color="auto" w:fill="auto"/>
            <w:hideMark/>
          </w:tcPr>
          <w:p w14:paraId="04D226A9" w14:textId="77777777" w:rsidR="00D22D69" w:rsidRPr="00D22D69" w:rsidRDefault="00D22D69" w:rsidP="002745DF">
            <w:pPr>
              <w:spacing w:line="240" w:lineRule="auto"/>
              <w:jc w:val="left"/>
              <w:rPr>
                <w:rFonts w:ascii="Times New Roman" w:hAnsi="Times New Roman" w:cs="Times New Roman"/>
                <w:b/>
                <w:bCs/>
              </w:rPr>
            </w:pPr>
          </w:p>
        </w:tc>
        <w:tc>
          <w:tcPr>
            <w:tcW w:w="1400" w:type="dxa"/>
            <w:shd w:val="clear" w:color="auto" w:fill="auto"/>
            <w:noWrap/>
            <w:hideMark/>
          </w:tcPr>
          <w:p w14:paraId="0D21C464"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416-2</w:t>
            </w:r>
          </w:p>
        </w:tc>
        <w:tc>
          <w:tcPr>
            <w:tcW w:w="6173" w:type="dxa"/>
            <w:shd w:val="clear" w:color="auto" w:fill="auto"/>
            <w:hideMark/>
          </w:tcPr>
          <w:p w14:paraId="6377DD22"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Incidentes de não conformidade relativos a impactos na saúde e segurança de produtos e serviços</w:t>
            </w:r>
          </w:p>
        </w:tc>
      </w:tr>
      <w:tr w:rsidR="00D22EFF" w:rsidRPr="00D22D69" w14:paraId="771BE00A" w14:textId="77777777" w:rsidTr="00D22EFF">
        <w:trPr>
          <w:trHeight w:val="300"/>
        </w:trPr>
        <w:tc>
          <w:tcPr>
            <w:tcW w:w="1707" w:type="dxa"/>
            <w:vMerge w:val="restart"/>
            <w:shd w:val="clear" w:color="auto" w:fill="auto"/>
            <w:hideMark/>
          </w:tcPr>
          <w:p w14:paraId="185CAF5A" w14:textId="77777777" w:rsidR="00D22EFF" w:rsidRPr="00D22D69" w:rsidRDefault="00D22EFF" w:rsidP="002745DF">
            <w:pPr>
              <w:spacing w:line="240" w:lineRule="auto"/>
              <w:jc w:val="center"/>
              <w:rPr>
                <w:rFonts w:ascii="Times New Roman" w:hAnsi="Times New Roman" w:cs="Times New Roman"/>
                <w:b/>
                <w:bCs/>
              </w:rPr>
            </w:pPr>
            <w:r w:rsidRPr="00D22D69">
              <w:rPr>
                <w:rFonts w:ascii="Times New Roman" w:hAnsi="Times New Roman" w:cs="Times New Roman"/>
                <w:b/>
                <w:bCs/>
              </w:rPr>
              <w:t>Marketing e Rotulagem</w:t>
            </w:r>
          </w:p>
        </w:tc>
        <w:tc>
          <w:tcPr>
            <w:tcW w:w="1400" w:type="dxa"/>
            <w:shd w:val="clear" w:color="auto" w:fill="auto"/>
            <w:noWrap/>
            <w:hideMark/>
          </w:tcPr>
          <w:p w14:paraId="36BFBC94"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417-1</w:t>
            </w:r>
          </w:p>
        </w:tc>
        <w:tc>
          <w:tcPr>
            <w:tcW w:w="6173" w:type="dxa"/>
            <w:shd w:val="clear" w:color="auto" w:fill="auto"/>
            <w:hideMark/>
          </w:tcPr>
          <w:p w14:paraId="74B24C09"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Requisitos para informações e rotulagem de produtos e serviços</w:t>
            </w:r>
          </w:p>
        </w:tc>
      </w:tr>
      <w:tr w:rsidR="00D22EFF" w:rsidRPr="00D22D69" w14:paraId="6B6D840B" w14:textId="77777777" w:rsidTr="00D22EFF">
        <w:trPr>
          <w:trHeight w:val="600"/>
        </w:trPr>
        <w:tc>
          <w:tcPr>
            <w:tcW w:w="1707" w:type="dxa"/>
            <w:vMerge/>
            <w:shd w:val="clear" w:color="auto" w:fill="auto"/>
            <w:hideMark/>
          </w:tcPr>
          <w:p w14:paraId="036ED9B2" w14:textId="77777777" w:rsidR="00D22EFF" w:rsidRPr="00D22D69" w:rsidRDefault="00D22EFF" w:rsidP="002745DF">
            <w:pPr>
              <w:spacing w:line="240" w:lineRule="auto"/>
              <w:jc w:val="left"/>
              <w:rPr>
                <w:rFonts w:ascii="Times New Roman" w:hAnsi="Times New Roman" w:cs="Times New Roman"/>
                <w:b/>
                <w:bCs/>
              </w:rPr>
            </w:pPr>
          </w:p>
        </w:tc>
        <w:tc>
          <w:tcPr>
            <w:tcW w:w="1400" w:type="dxa"/>
            <w:shd w:val="clear" w:color="auto" w:fill="auto"/>
            <w:noWrap/>
            <w:hideMark/>
          </w:tcPr>
          <w:p w14:paraId="4EA23118"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417-2</w:t>
            </w:r>
          </w:p>
        </w:tc>
        <w:tc>
          <w:tcPr>
            <w:tcW w:w="6173" w:type="dxa"/>
            <w:shd w:val="clear" w:color="auto" w:fill="auto"/>
            <w:hideMark/>
          </w:tcPr>
          <w:p w14:paraId="3F423EBC"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Incidentes de não conformidade relativos a informações e rotulagem de produtos e serviços</w:t>
            </w:r>
          </w:p>
        </w:tc>
      </w:tr>
      <w:tr w:rsidR="00D22EFF" w:rsidRPr="00D22D69" w14:paraId="56B7C433" w14:textId="77777777" w:rsidTr="00D22EFF">
        <w:trPr>
          <w:trHeight w:val="300"/>
        </w:trPr>
        <w:tc>
          <w:tcPr>
            <w:tcW w:w="1707" w:type="dxa"/>
            <w:vMerge/>
            <w:shd w:val="clear" w:color="auto" w:fill="auto"/>
            <w:hideMark/>
          </w:tcPr>
          <w:p w14:paraId="636F7A5A" w14:textId="77777777" w:rsidR="00D22EFF" w:rsidRPr="00D22D69" w:rsidRDefault="00D22EFF" w:rsidP="002745DF">
            <w:pPr>
              <w:spacing w:line="240" w:lineRule="auto"/>
              <w:jc w:val="left"/>
              <w:rPr>
                <w:rFonts w:ascii="Times New Roman" w:hAnsi="Times New Roman" w:cs="Times New Roman"/>
                <w:b/>
                <w:bCs/>
              </w:rPr>
            </w:pPr>
          </w:p>
        </w:tc>
        <w:tc>
          <w:tcPr>
            <w:tcW w:w="1400" w:type="dxa"/>
            <w:shd w:val="clear" w:color="auto" w:fill="auto"/>
            <w:noWrap/>
            <w:hideMark/>
          </w:tcPr>
          <w:p w14:paraId="46B5BF50"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417-3</w:t>
            </w:r>
          </w:p>
        </w:tc>
        <w:tc>
          <w:tcPr>
            <w:tcW w:w="6173" w:type="dxa"/>
            <w:shd w:val="clear" w:color="auto" w:fill="auto"/>
            <w:hideMark/>
          </w:tcPr>
          <w:p w14:paraId="45793A20" w14:textId="77777777" w:rsidR="00D22EFF" w:rsidRPr="00D22D69" w:rsidRDefault="00D22EFF"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Incidentes de não conformidade relativos a comunicações de marketing</w:t>
            </w:r>
          </w:p>
        </w:tc>
      </w:tr>
      <w:tr w:rsidR="00D22EFF" w:rsidRPr="00D22D69" w14:paraId="40917869" w14:textId="77777777" w:rsidTr="00D22EFF">
        <w:trPr>
          <w:trHeight w:val="300"/>
        </w:trPr>
        <w:tc>
          <w:tcPr>
            <w:tcW w:w="1707" w:type="dxa"/>
            <w:vMerge/>
            <w:shd w:val="clear" w:color="auto" w:fill="auto"/>
          </w:tcPr>
          <w:p w14:paraId="7D6394A3" w14:textId="77777777" w:rsidR="00D22EFF" w:rsidRPr="00D22D69" w:rsidRDefault="00D22EFF" w:rsidP="002745DF">
            <w:pPr>
              <w:spacing w:line="240" w:lineRule="auto"/>
              <w:jc w:val="left"/>
              <w:rPr>
                <w:rFonts w:ascii="Times New Roman" w:hAnsi="Times New Roman" w:cs="Times New Roman"/>
                <w:b/>
                <w:bCs/>
              </w:rPr>
            </w:pPr>
          </w:p>
        </w:tc>
        <w:tc>
          <w:tcPr>
            <w:tcW w:w="1400" w:type="dxa"/>
            <w:shd w:val="clear" w:color="auto" w:fill="auto"/>
            <w:noWrap/>
          </w:tcPr>
          <w:p w14:paraId="704A2833" w14:textId="47E6C1A5" w:rsidR="00D22EFF" w:rsidRPr="00D22D69" w:rsidRDefault="00D22EFF" w:rsidP="002745DF">
            <w:pPr>
              <w:spacing w:line="240" w:lineRule="auto"/>
              <w:jc w:val="center"/>
              <w:rPr>
                <w:rFonts w:ascii="Times New Roman" w:hAnsi="Times New Roman" w:cs="Times New Roman"/>
                <w:color w:val="000000"/>
              </w:rPr>
            </w:pPr>
            <w:r>
              <w:rPr>
                <w:rFonts w:ascii="Times New Roman" w:hAnsi="Times New Roman" w:cs="Times New Roman"/>
                <w:color w:val="000000"/>
              </w:rPr>
              <w:t>417-4X</w:t>
            </w:r>
          </w:p>
        </w:tc>
        <w:tc>
          <w:tcPr>
            <w:tcW w:w="6173" w:type="dxa"/>
            <w:shd w:val="clear" w:color="auto" w:fill="auto"/>
          </w:tcPr>
          <w:p w14:paraId="67F51773" w14:textId="3BF3AD8C" w:rsidR="00D22EFF" w:rsidRPr="00D22D69" w:rsidRDefault="00D22EFF" w:rsidP="00D22EFF">
            <w:pPr>
              <w:spacing w:line="240" w:lineRule="auto"/>
              <w:jc w:val="center"/>
              <w:rPr>
                <w:rFonts w:ascii="Times New Roman" w:hAnsi="Times New Roman" w:cs="Times New Roman"/>
                <w:color w:val="000000"/>
              </w:rPr>
            </w:pPr>
            <w:r>
              <w:rPr>
                <w:rFonts w:ascii="Times New Roman" w:hAnsi="Times New Roman" w:cs="Times New Roman"/>
                <w:color w:val="000000"/>
              </w:rPr>
              <w:t>T</w:t>
            </w:r>
            <w:r w:rsidRPr="00D22EFF">
              <w:rPr>
                <w:rFonts w:ascii="Times New Roman" w:hAnsi="Times New Roman" w:cs="Times New Roman"/>
                <w:color w:val="000000"/>
              </w:rPr>
              <w:t>ipo e número de certificação de sustentabilidade, níveis de rating e rotulagem para nova construção, gestão, ocupação e de</w:t>
            </w:r>
            <w:r>
              <w:rPr>
                <w:rFonts w:ascii="Times New Roman" w:hAnsi="Times New Roman" w:cs="Times New Roman"/>
                <w:color w:val="000000"/>
              </w:rPr>
              <w:t>sen</w:t>
            </w:r>
            <w:r w:rsidRPr="00D22EFF">
              <w:rPr>
                <w:rFonts w:ascii="Times New Roman" w:hAnsi="Times New Roman" w:cs="Times New Roman"/>
                <w:color w:val="000000"/>
              </w:rPr>
              <w:t>volvimento</w:t>
            </w:r>
          </w:p>
        </w:tc>
      </w:tr>
      <w:tr w:rsidR="00D22D69" w:rsidRPr="00D22D69" w14:paraId="1050FCBC" w14:textId="77777777" w:rsidTr="00D22EFF">
        <w:trPr>
          <w:trHeight w:val="615"/>
        </w:trPr>
        <w:tc>
          <w:tcPr>
            <w:tcW w:w="1707" w:type="dxa"/>
            <w:shd w:val="clear" w:color="auto" w:fill="auto"/>
            <w:hideMark/>
          </w:tcPr>
          <w:p w14:paraId="62EECBEA" w14:textId="77777777" w:rsidR="00D22D69" w:rsidRPr="00D22D69" w:rsidRDefault="00D22D69" w:rsidP="002745DF">
            <w:pPr>
              <w:spacing w:line="240" w:lineRule="auto"/>
              <w:jc w:val="center"/>
              <w:rPr>
                <w:rFonts w:ascii="Times New Roman" w:hAnsi="Times New Roman" w:cs="Times New Roman"/>
                <w:b/>
                <w:bCs/>
              </w:rPr>
            </w:pPr>
            <w:r w:rsidRPr="00D22D69">
              <w:rPr>
                <w:rFonts w:ascii="Times New Roman" w:hAnsi="Times New Roman" w:cs="Times New Roman"/>
                <w:b/>
                <w:bCs/>
              </w:rPr>
              <w:t>Privacidade do cliente</w:t>
            </w:r>
          </w:p>
        </w:tc>
        <w:tc>
          <w:tcPr>
            <w:tcW w:w="1400" w:type="dxa"/>
            <w:shd w:val="clear" w:color="auto" w:fill="auto"/>
            <w:noWrap/>
            <w:hideMark/>
          </w:tcPr>
          <w:p w14:paraId="7E11C5B7"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418-1</w:t>
            </w:r>
          </w:p>
        </w:tc>
        <w:tc>
          <w:tcPr>
            <w:tcW w:w="6173" w:type="dxa"/>
            <w:shd w:val="clear" w:color="auto" w:fill="auto"/>
            <w:hideMark/>
          </w:tcPr>
          <w:p w14:paraId="0ADB0B66"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Reclamações comprovadas relativas a violação de privacidade e perda de dados de clientes</w:t>
            </w:r>
          </w:p>
        </w:tc>
      </w:tr>
      <w:tr w:rsidR="00D22D69" w:rsidRPr="00D22D69" w14:paraId="66B2D6A2" w14:textId="77777777" w:rsidTr="00D22EFF">
        <w:trPr>
          <w:trHeight w:val="870"/>
        </w:trPr>
        <w:tc>
          <w:tcPr>
            <w:tcW w:w="1707" w:type="dxa"/>
            <w:shd w:val="clear" w:color="auto" w:fill="auto"/>
            <w:hideMark/>
          </w:tcPr>
          <w:p w14:paraId="0DFC6003" w14:textId="77777777" w:rsidR="00D22D69" w:rsidRPr="00D22D69" w:rsidRDefault="00D22D69" w:rsidP="002745DF">
            <w:pPr>
              <w:spacing w:line="240" w:lineRule="auto"/>
              <w:jc w:val="center"/>
              <w:rPr>
                <w:rFonts w:ascii="Times New Roman" w:hAnsi="Times New Roman" w:cs="Times New Roman"/>
                <w:b/>
                <w:bCs/>
              </w:rPr>
            </w:pPr>
            <w:r w:rsidRPr="00D22D69">
              <w:rPr>
                <w:rFonts w:ascii="Times New Roman" w:hAnsi="Times New Roman" w:cs="Times New Roman"/>
                <w:b/>
                <w:bCs/>
              </w:rPr>
              <w:t>Conformidade Socioeconômica</w:t>
            </w:r>
          </w:p>
        </w:tc>
        <w:tc>
          <w:tcPr>
            <w:tcW w:w="1400" w:type="dxa"/>
            <w:shd w:val="clear" w:color="auto" w:fill="auto"/>
            <w:noWrap/>
            <w:hideMark/>
          </w:tcPr>
          <w:p w14:paraId="25FC10E8"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419-1</w:t>
            </w:r>
          </w:p>
        </w:tc>
        <w:tc>
          <w:tcPr>
            <w:tcW w:w="6173" w:type="dxa"/>
            <w:shd w:val="clear" w:color="auto" w:fill="auto"/>
            <w:hideMark/>
          </w:tcPr>
          <w:p w14:paraId="52216880" w14:textId="77777777" w:rsidR="00D22D69" w:rsidRPr="00D22D69" w:rsidRDefault="00D22D69" w:rsidP="002745DF">
            <w:pPr>
              <w:spacing w:line="240" w:lineRule="auto"/>
              <w:jc w:val="center"/>
              <w:rPr>
                <w:rFonts w:ascii="Times New Roman" w:hAnsi="Times New Roman" w:cs="Times New Roman"/>
                <w:color w:val="000000"/>
              </w:rPr>
            </w:pPr>
            <w:r w:rsidRPr="00D22D69">
              <w:rPr>
                <w:rFonts w:ascii="Times New Roman" w:hAnsi="Times New Roman" w:cs="Times New Roman"/>
                <w:color w:val="000000"/>
              </w:rPr>
              <w:t>Não cumprimento de leis e regulamentos na área social e econômica</w:t>
            </w:r>
          </w:p>
        </w:tc>
      </w:tr>
    </w:tbl>
    <w:p w14:paraId="75E0E069" w14:textId="77777777" w:rsidR="00D22D69" w:rsidRDefault="00D22D69" w:rsidP="00D22D69">
      <w:pPr>
        <w:pStyle w:val="Figura"/>
      </w:pPr>
      <w:r>
        <w:t xml:space="preserve">Fonte: Adaptado de </w:t>
      </w:r>
      <w:r>
        <w:fldChar w:fldCharType="begin" w:fldLock="1"/>
      </w:r>
      <w:r>
        <w:instrText>ADDIN CSL_CITATION {"citationItems":[{"id":"ITEM-1","itemData":{"ISBN":"9781921114069","abstract":"Zero Waste SA, established by the Zero Waste SA Act 2004, provides strategic policy advice and direction to government and stakeholders. It undertakes programs and projects that maximise waste reduction and promote recycling and sustainability. It engages with the community, business and government, building partnerships for change.","author":[{"dropping-particle":"","family":"Global Reporting Initiative","given":"","non-dropping-particle":"","parse-names":false,"suffix":""}],"container-title":"GRI Standards","id":"ITEM-1","issued":{"date-parts":[["2016"]]},"title":"GRI 401: Employment","type":"article-journal"},"uris":["http://www.mendeley.com/documents/?uuid=1af1e825-9399-428b-82e0-779b459e78f4"]},{"id":"ITEM-2","itemData":{"author":[{"dropping-particle":"","family":"Global Reporting Initiative","given":"","non-dropping-particle":"","parse-names":false,"suffix":""}],"id":"ITEM-2","issued":{"date-parts":[["2018"]]},"page":"1-8","title":"GRI 402: Labor/Management Relations","type":"article-journal"},"uris":["http://www.mendeley.com/documents/?uuid=190a3a93-71e4-4349-8d89-d556665815a2"]},{"id":"ITEM-3","itemData":{"author":[{"dropping-particle":"","family":"Global Reporting Initiative","given":"","non-dropping-particle":"","parse-names":false,"suffix":""}],"id":"ITEM-3","issued":{"date-parts":[["2018"]]},"title":"GRI 403: Occupational health and safety","type":"article-journal"},"uris":["http://www.mendeley.com/documents/?uuid=24884da0-d1ad-4fc4-937d-d690f4c4ed6c"]},{"id":"ITEM-4","itemData":{"ISBN":"978-90-8866-056-6","abstract":"This document is the Foundation section of the GRI G4 Standard","author":[{"dropping-particle":"","family":"Global Reporting Initiative","given":"","non-dropping-particle":"","parse-names":false,"suffix":""}],"container-title":"GRI Global","id":"ITEM-4","issue":"1","issued":{"date-parts":[["2016"]]},"page":"13","title":"GRI 404: Training and education","type":"article-journal","volume":"GRI101"},"uris":["http://www.mendeley.com/documents/?uuid=bc231cff-cf66-4dbd-a6fe-a0be523cef33"]},{"id":"ITEM-5","itemData":{"author":[{"dropping-particle":"","family":"Global Reporting Initiative","given":"","non-dropping-particle":"","parse-names":false,"suffix":""}],"container-title":"GRI Standards","id":"ITEM-5","issued":{"date-parts":[["2016"]]},"title":"GRI 405: Diversity and equal opportunity","type":"article-journal"},"uris":["http://www.mendeley.com/documents/?uuid=786bdd60-06e3-4485-ac82-b5160139d8c8"]},{"id":"ITEM-6","itemData":{"author":[{"dropping-particle":"","family":"Global Reporting Initiative","given":"","non-dropping-particle":"","parse-names":false,"suffix":""}],"id":"ITEM-6","issued":{"date-parts":[["2016"]]},"title":"GRI 406: No discrimination","type":"article-journal"},"uris":["http://www.mendeley.com/documents/?uuid=be0f9be9-f83e-4291-b8bb-6067cf848f9b"]},{"id":"ITEM-7","itemData":{"author":[{"dropping-particle":"","family":"Global Reporting Initiative","given":"","non-dropping-particle":"","parse-names":false,"suffix":""}],"container-title":"GRI Standards","id":"ITEM-7","issued":{"date-parts":[["2016"]]},"title":"GRI 407: Freedom of association and collective bargaining","type":"article-journal"},"uris":["http://www.mendeley.com/documents/?uuid=7ec762a3-95c4-40d9-89d3-6854485a7b5a"]},{"id":"ITEM-8","itemData":{"author":[{"dropping-particle":"","family":"Global Reporting Initiative","given":"","non-dropping-particle":"","parse-names":false,"suffix":""}],"container-title":"GRI Standards","id":"ITEM-8","issued":{"date-parts":[["2016"]]},"title":"GRI 408: Child labor","type":"article-journal"},"uris":["http://www.mendeley.com/documents/?uuid=d009d84e-858e-45a7-9bb6-274b35c86d6b"]},{"id":"ITEM-9","itemData":{"author":[{"dropping-particle":"","family":"Global Reporting Initiative","given":"","non-dropping-particle":"","parse-names":false,"suffix":""}],"container-title":"GRI Standards","id":"ITEM-9","issued":{"date-parts":[["2016"]]},"title":"GRI 409: Forced or compulsory labor","type":"article-journal"},"uris":["http://www.mendeley.com/documents/?uuid=66e1f273-fe26-41d1-a1d5-21955cb6014f"]},{"id":"ITEM-10","itemData":{"DOI":"10.2307/249597","ISBN":"02767783","ISSN":"02767783","PMID":"9512120051","abstract":"This longitudinal field study (three work sessions plus an initial training session) investigates the efficacy of a new technology-desktop video-conferencing (DVC)-in support of collaborative telelearning (i.e., collaborative learning among non-proximate team members). Two types of collaborative telelearning environments are considered: One involves local groups (i.e., students on the same campus), and the other involves non-proximate distant groups (i.e., students on two separate campuses). The collaborative telelearning environments are compared to each other and to a traditional face-to-face collaborative learning environment. The study found that the three environments are equally effective in terms of student knowledge acquisition; however, higher critical-thinking skills were found in the distant DVC environment. The subjects in the three learning environments were equally satisfied with their learning process and outcomes. At the conclusion of the longitudinal assessment, the distant students using DVC were more committed and attracted to their groups compared to local students who worked face-to-face or through DVC.","author":[{"dropping-particle":"","family":"Global Reporting Initiative","given":"","non-dropping-particle":"","parse-names":false,"suffix":""}],"container-title":"GRI Global","id":"ITEM-10","issued":{"date-parts":[["2016"]]},"title":"GRI 410: Security practices","type":"article-journal"},"uris":["http://www.mendeley.com/documents/?uuid=d1ce89a9-680c-4201-9d03-c839a4731dd4"]},{"id":"ITEM-11","itemData":{"author":[{"dropping-particle":"","family":"Global Reporting Initiative","given":"","non-dropping-particle":"","parse-names":false,"suffix":""}],"container-title":"GRI Global","id":"ITEM-11","issued":{"date-parts":[["2016"]]},"title":"GRI 411: Rights of indigenous peoples","type":"article-journal"},"uris":["http://www.mendeley.com/documents/?uuid=109f14ae-0ae0-478a-b452-60db8efd82d3"]},{"id":"ITEM-12","itemData":{"author":[{"dropping-particle":"","family":"Global Reporting Initiative","given":"","non-dropping-particle":"","parse-names":false,"suffix":""}],"container-title":"GRI Standards","id":"ITEM-12","issued":{"date-parts":[["2016"]]},"title":"GRI 412: Human rights assessment","type":"article-journal"},"uris":["http://www.mendeley.com/documents/?uuid=6e46478c-6633-44d1-bdc9-ff7e927e3fb2"]},{"id":"ITEM-13","itemData":{"author":[{"dropping-particle":"","family":"Global Reporting Initiative","given":"","non-dropping-particle":"","parse-names":false,"suffix":""}],"id":"ITEM-13","issued":{"date-parts":[["2016"]]},"title":"GRI 413: Local communities","type":"article-journal"},"uris":["http://www.mendeley.com/documents/?uuid=163c69d3-c0da-4a05-8f0a-38e804eddb8e"]},{"id":"ITEM-14","itemData":{"author":[{"dropping-particle":"","family":"Global Reporting Initiative","given":"","non-dropping-particle":"","parse-names":false,"suffix":""}],"container-title":"GRI Standards","id":"ITEM-14","issued":{"date-parts":[["2016"]]},"title":"GRI 414: Supplier social assessment","type":"article-journal"},"uris":["http://www.mendeley.com/documents/?uuid=5a09291d-2832-4193-bd18-c6535129d13a"]},{"id":"ITEM-15","itemData":{"DOI":"10.1590/S0104-42302000000300014","ISSN":"0104-4230","abstract":"UNITERMOS: Câncer em crianças. Qualidade de vida. Efei-tos tardios. Segunda neoplasia. KEY WORDS: Childhood cancer. Quality of life. Late effects. Second malignant neoplasm. INTRODUÇÃO Até a década de 70 a grande maioria das crian-ças portadoras de neoplasia faleciam. O objetivo do tratamento da época era alcançar a cura a qualquer preço. A maioria dos efeitos tardios não eram conhecidos, pois o período de observação pós tratamento era pequeno e parte destes efeitos não eram ainda encontrados ou descritos na literatu-ra. Nos países desenvolvidos, a filosofia de trata-mento era semelhante e os pacientes curados ti-nham pouco tempo de observação . Com o aumento da taxa de sobreviventes cada vez maior, somos levados a acompanhar esses pacientes curados por vários anos. Tem-se obser-vado o impacto dos efeitos tardios relacionados ao tratamento na qualidade de vida destes adultos jovens. Dados obtidos na literatura vêm nos mos-trando que no ano 2000, um em cada 1000 adultos na sua terceira década de vida será um sobrevi-vente de um câncer pediátrico 11 . As consultas clínicas efetuadas após o término do tratamento têm como finalidade confirmar que o paciente continua em remissão de sua doença, assim como avaliar as toxicidades relacionadas ao tratamento. Testes de avaliação dos efeitos tardios incluem exame físico ou laboratorial para análise dos órgãos ou sistemas : cérebro, coração, pulmões, tireóide, gônadas, medula óssea, ossos e tecidos de partes moles (músculos, cartilagens, entre ou-tros), e testes psicológicos (avaliação cognitiva, aprendizado, emocional). Os efeitos tardios do tratamento podem se manifestar mais precocemente ou a longo prazo, dependendo do tratamento utilizado e da idade da criança ao ser exposta ao tratamento. Por exemplo, muitos dos efeitos ligados à radiotera-pia tais como os endocrinológicos (crescimento, hipotiroidismo, entre outros), podem não ser manifestados nos primeiros anos após o término do tratamento. Alguns efeitos provocados pela quimioterapia podem também se manifestar mais tardiamente como por exemplo insuficiência re-nal, cardiomiopatia, perda de audição, etc. (Ta-belas 1,2 e 3). Nos Estados Unidos foi criado um grupo para estudo dos efeitos tardios denominado \" Late Ef-fects Study Group \" , no qual pediatras oncologistas e outros especialistas, através de estudos científi-cos, passaram a estudar as experiências encontra-das com os pacientes curados e as relações encon-tradas entre os tipos de tratamentos propostos…","author":[{"dropping-particle":"","family":"Global Reporting Initiative","given":"","non-dropping-particle":"","parse-names":false,"suffix":""}],"container-title":"GRI Standards","id":"ITEM-15","issued":{"date-parts":[["2016"]]},"title":"GRI 415: Public policy","type":"article-journal"},"uris":["http://www.mendeley.com/documents/?uuid=554b10b5-5c23-46b3-b25b-f6141403421f"]},{"id":"ITEM-16","itemData":{"author":[{"dropping-particle":"","family":"Global Reporting Initiative","given":"","non-dropping-particle":"","parse-names":false,"suffix":""}],"container-title":"GRI Standards","id":"ITEM-16","issued":{"date-parts":[["2016"]]},"title":"GRI 416: Customer health and safety","type":"article-journal"},"uris":["http://www.mendeley.com/documents/?uuid=ec47de97-ef1c-4774-9351-61bbfdbfc927"]},{"id":"ITEM-17","itemData":{"author":[{"dropping-particle":"","family":"Global Reporting Initiative","given":"","non-dropping-particle":"","parse-names":false,"suffix":""}],"id":"ITEM-17","issued":{"date-parts":[["2016"]]},"page":"10","title":"GRI 417: Marketing and Labeling","type":"article-journal"},"uris":["http://www.mendeley.com/documents/?uuid=9f577059-e62b-4606-91e4-94db295bec78"]},{"id":"ITEM-18","itemData":{"author":[{"dropping-particle":"","family":"Global Reporting Initiative","given":"","non-dropping-particle":"","parse-names":false,"suffix":""}],"container-title":"GRI Standards","id":"ITEM-18","issued":{"date-parts":[["2016"]]},"title":"GRI 418: Customer privacy","type":"article-journal"},"uris":["http://www.mendeley.com/documents/?uuid=dce73286-d737-40e3-b837-083ed03f6827"]},{"id":"ITEM-19","itemData":{"author":[{"dropping-particle":"","family":"Global Reporting Initiative","given":"","non-dropping-particle":"","parse-names":false,"suffix":""}],"id":"ITEM-19","issued":{"date-parts":[["2016"]]},"title":"GRI 419: Socioeconomic compliance","type":"article-journal"},"uris":["http://www.mendeley.com/documents/?uuid=a29bb83b-090e-4b04-922d-ab49fb838e26"]}],"mendeley":{"formattedCitation":"(GLOBAL REPORTING INITIATIVE, 2016h, 2016a, 2016i, 2016j, 2016k, 2016l, 2016m, 2016n, 2016q, 2018a, 2018b, 2016p, 2016b, 2016c, 2016d, 2016e, 2016f, 2016g, 2016o)","manualFormatting":"Global Reporting Initiative (2016h, 2016a, 2016i, 2016j, 2016k, 2016l, 2016m, 2016n, 2016q, 2018a, 2018b, 2016p, 2016b, 2016c, 2016d, 2016e, 2016f, 2016g, 2016o)","plainTextFormattedCitation":"(GLOBAL REPORTING INITIATIVE, 2016h, 2016a, 2016i, 2016j, 2016k, 2016l, 2016m, 2016n, 2016q, 2018a, 2018b, 2016p, 2016b, 2016c, 2016d, 2016e, 2016f, 2016g, 2016o)","previouslyFormattedCitation":"(GLOBAL REPORTING INITIATIVE, 2016h, 2016a, 2016i, 2016j, 2016k, 2016l, 2016m, 2016n, 2016q, 2018a, 2018b, 2016p, 2016b, 2016c, 2016d, 2016e, 2016f, 2016g, 2016o)"},"properties":{"noteIndex":0},"schema":"https://github.com/citation-style-language/schema/raw/master/csl-citation.json"}</w:instrText>
      </w:r>
      <w:r>
        <w:fldChar w:fldCharType="separate"/>
      </w:r>
      <w:r w:rsidRPr="009B10C7">
        <w:rPr>
          <w:noProof/>
        </w:rPr>
        <w:t xml:space="preserve">Global Reporting Initiative </w:t>
      </w:r>
      <w:r>
        <w:rPr>
          <w:noProof/>
        </w:rPr>
        <w:t>(</w:t>
      </w:r>
      <w:r w:rsidRPr="009B10C7">
        <w:rPr>
          <w:noProof/>
        </w:rPr>
        <w:t>2016h, 2016a, 2016i, 2016j, 2016k, 2016l, 2016m, 2016n, 2016q, 2018a, 2018b, 2016p, 2016b, 2016c, 2016d, 2016e, 2016f, 2016g, 2016o)</w:t>
      </w:r>
      <w:r>
        <w:fldChar w:fldCharType="end"/>
      </w:r>
      <w:r>
        <w:t>.</w:t>
      </w:r>
    </w:p>
    <w:p w14:paraId="4A68454C" w14:textId="1D375857" w:rsidR="00D22D69" w:rsidRDefault="00D22D69" w:rsidP="00D22D69">
      <w:pPr>
        <w:rPr>
          <w:rFonts w:ascii="Times New Roman" w:hAnsi="Times New Roman" w:cs="Times New Roman"/>
          <w:sz w:val="24"/>
          <w:szCs w:val="24"/>
        </w:rPr>
      </w:pPr>
      <w:r>
        <w:rPr>
          <w:rFonts w:ascii="Times New Roman" w:hAnsi="Times New Roman" w:cs="Times New Roman"/>
          <w:sz w:val="24"/>
          <w:szCs w:val="24"/>
        </w:rPr>
        <w:tab/>
      </w:r>
    </w:p>
    <w:p w14:paraId="671CD733" w14:textId="77777777" w:rsidR="00436224" w:rsidRDefault="00436224" w:rsidP="00436224">
      <w:pPr>
        <w:rPr>
          <w:rFonts w:ascii="Times New Roman" w:hAnsi="Times New Roman" w:cs="Times New Roman"/>
          <w:b/>
          <w:sz w:val="24"/>
          <w:szCs w:val="24"/>
        </w:rPr>
      </w:pPr>
      <w:r>
        <w:rPr>
          <w:rFonts w:ascii="Times New Roman" w:hAnsi="Times New Roman" w:cs="Times New Roman"/>
          <w:b/>
          <w:sz w:val="24"/>
          <w:szCs w:val="24"/>
        </w:rPr>
        <w:t>METODOLOGIA</w:t>
      </w:r>
    </w:p>
    <w:p w14:paraId="1AB66CB1" w14:textId="29C98FAB" w:rsidR="00D22EFF" w:rsidRPr="00D22EFF" w:rsidRDefault="00D22EFF" w:rsidP="00D22EFF">
      <w:pPr>
        <w:rPr>
          <w:rFonts w:ascii="Times New Roman" w:hAnsi="Times New Roman" w:cs="Times New Roman"/>
          <w:sz w:val="24"/>
          <w:szCs w:val="24"/>
        </w:rPr>
      </w:pPr>
      <w:r w:rsidRPr="00D22EFF">
        <w:rPr>
          <w:rFonts w:ascii="Times New Roman" w:hAnsi="Times New Roman" w:cs="Times New Roman"/>
          <w:sz w:val="24"/>
          <w:szCs w:val="24"/>
        </w:rPr>
        <w:t xml:space="preserve">De acordo com a definição de </w:t>
      </w:r>
      <w:r w:rsidR="002745DF">
        <w:rPr>
          <w:rFonts w:ascii="Times New Roman" w:hAnsi="Times New Roman" w:cs="Times New Roman"/>
          <w:sz w:val="24"/>
          <w:szCs w:val="24"/>
        </w:rPr>
        <w:fldChar w:fldCharType="begin" w:fldLock="1"/>
      </w:r>
      <w:r w:rsidR="002745DF">
        <w:rPr>
          <w:rFonts w:ascii="Times New Roman" w:hAnsi="Times New Roman" w:cs="Times New Roman"/>
          <w:sz w:val="24"/>
          <w:szCs w:val="24"/>
        </w:rPr>
        <w:instrText>ADDIN CSL_CITATION {"citationItems":[{"id":"ITEM-1","itemData":{"ISBN":"8522443912","author":[{"dropping-particle":"","family":"Raupp","given":"Fabiano Maury","non-dropping-particle":"","parse-names":false,"suffix":""},{"dropping-particle":"","family":"Beuren","given":"Ilse Maria","non-dropping-particle":"","parse-names":false,"suffix":""}],"chapter-number":"3º","container-title":"Como elaborar trabalhos monográficos em contabilidade","edition":"3º","editor":[{"dropping-particle":"","family":"Atlas","given":"","non-dropping-particle":"","parse-names":false,"suffix":""}],"id":"ITEM-1","issued":{"date-parts":[["2006"]]},"publisher":"Atlas","title":"Metodologia da Pesquisa aplicável às ciências sociais","type":"chapter"},"uris":["http://www.mendeley.com/documents/?uuid=8c984e56-a920-41f4-8553-5d817827d4c4"]}],"mendeley":{"formattedCitation":"(RAUPP; BEUREN, 2006)","manualFormatting":"Raupp e Beuren (2006)","plainTextFormattedCitation":"(RAUPP; BEUREN, 2006)","previouslyFormattedCitation":"(RAUPP; BEUREN, 2006)"},"properties":{"noteIndex":0},"schema":"https://github.com/citation-style-language/schema/raw/master/csl-citation.json"}</w:instrText>
      </w:r>
      <w:r w:rsidR="002745DF">
        <w:rPr>
          <w:rFonts w:ascii="Times New Roman" w:hAnsi="Times New Roman" w:cs="Times New Roman"/>
          <w:sz w:val="24"/>
          <w:szCs w:val="24"/>
        </w:rPr>
        <w:fldChar w:fldCharType="separate"/>
      </w:r>
      <w:r w:rsidR="002745DF" w:rsidRPr="002745DF">
        <w:rPr>
          <w:rFonts w:ascii="Times New Roman" w:hAnsi="Times New Roman" w:cs="Times New Roman"/>
          <w:noProof/>
          <w:sz w:val="24"/>
          <w:szCs w:val="24"/>
        </w:rPr>
        <w:t>Raupp</w:t>
      </w:r>
      <w:r w:rsidR="002745DF">
        <w:rPr>
          <w:rFonts w:ascii="Times New Roman" w:hAnsi="Times New Roman" w:cs="Times New Roman"/>
          <w:noProof/>
          <w:sz w:val="24"/>
          <w:szCs w:val="24"/>
        </w:rPr>
        <w:t xml:space="preserve"> e</w:t>
      </w:r>
      <w:r w:rsidR="002745DF" w:rsidRPr="002745DF">
        <w:rPr>
          <w:rFonts w:ascii="Times New Roman" w:hAnsi="Times New Roman" w:cs="Times New Roman"/>
          <w:noProof/>
          <w:sz w:val="24"/>
          <w:szCs w:val="24"/>
        </w:rPr>
        <w:t xml:space="preserve"> Beuren </w:t>
      </w:r>
      <w:r w:rsidR="002745DF">
        <w:rPr>
          <w:rFonts w:ascii="Times New Roman" w:hAnsi="Times New Roman" w:cs="Times New Roman"/>
          <w:noProof/>
          <w:sz w:val="24"/>
          <w:szCs w:val="24"/>
        </w:rPr>
        <w:t>(</w:t>
      </w:r>
      <w:r w:rsidR="002745DF" w:rsidRPr="002745DF">
        <w:rPr>
          <w:rFonts w:ascii="Times New Roman" w:hAnsi="Times New Roman" w:cs="Times New Roman"/>
          <w:noProof/>
          <w:sz w:val="24"/>
          <w:szCs w:val="24"/>
        </w:rPr>
        <w:t>2006)</w:t>
      </w:r>
      <w:r w:rsidR="002745DF">
        <w:rPr>
          <w:rFonts w:ascii="Times New Roman" w:hAnsi="Times New Roman" w:cs="Times New Roman"/>
          <w:sz w:val="24"/>
          <w:szCs w:val="24"/>
        </w:rPr>
        <w:fldChar w:fldCharType="end"/>
      </w:r>
      <w:r w:rsidRPr="00D22EFF">
        <w:rPr>
          <w:rFonts w:ascii="Times New Roman" w:hAnsi="Times New Roman" w:cs="Times New Roman"/>
          <w:sz w:val="24"/>
          <w:szCs w:val="24"/>
        </w:rPr>
        <w:t>, esta pesquisa se enquadra como pesquisa exploratória, que ocorre, normalmente, quando ainda há pouco conhecimento sobre a temática abordada. Busca-se, então, conhecer o assunto com maior profundidade, de modo a torná-lo mais claro e conduzir questões importantes durante a condução da pesquisa.</w:t>
      </w:r>
    </w:p>
    <w:p w14:paraId="0985FA8D" w14:textId="77777777" w:rsidR="00D22EFF" w:rsidRPr="00D22EFF" w:rsidRDefault="00D22EFF" w:rsidP="00D22EFF">
      <w:pPr>
        <w:rPr>
          <w:rFonts w:ascii="Times New Roman" w:hAnsi="Times New Roman" w:cs="Times New Roman"/>
          <w:sz w:val="24"/>
          <w:szCs w:val="24"/>
        </w:rPr>
      </w:pPr>
      <w:r w:rsidRPr="00D22EFF">
        <w:rPr>
          <w:rFonts w:ascii="Times New Roman" w:hAnsi="Times New Roman" w:cs="Times New Roman"/>
          <w:sz w:val="24"/>
          <w:szCs w:val="24"/>
        </w:rPr>
        <w:t>Para Gil (2002), a pesquisa exploratória se desenvolve com o objetivo de proporcionar uma visão geral acerca de determinado fato. Portanto, esse tipo de pesquisa é realizado, sobretudo, quando o tema escolhido é pouco explorado e torna-se difícil formular hipóteses precisas e operacionalizáveis. Que é, justamente, o caso desta pesquisa, onde pouco se é explorado acerca da sustentabilidade social na construção civil, ainda mais no contexto local.</w:t>
      </w:r>
    </w:p>
    <w:p w14:paraId="6442C2FE" w14:textId="79C1FCF3" w:rsidR="00D22EFF" w:rsidRPr="00D22EFF" w:rsidRDefault="00D22EFF" w:rsidP="00D22EFF">
      <w:pPr>
        <w:rPr>
          <w:rFonts w:ascii="Times New Roman" w:hAnsi="Times New Roman" w:cs="Times New Roman"/>
          <w:sz w:val="24"/>
          <w:szCs w:val="24"/>
        </w:rPr>
      </w:pPr>
      <w:r w:rsidRPr="00D22EFF">
        <w:rPr>
          <w:rFonts w:ascii="Times New Roman" w:hAnsi="Times New Roman" w:cs="Times New Roman"/>
          <w:sz w:val="24"/>
          <w:szCs w:val="24"/>
        </w:rPr>
        <w:lastRenderedPageBreak/>
        <w:t xml:space="preserve">A fim de alcançar o objetivo geral de identificar indicadores de sustentabilidade social aplicáveis em construtoras de edificações de grande e médio porte na Região Metropolitana do Recife (RMR), a pesquisa será feita com levantamento de dados, com as seguintes etapas: especificação dos objetivos; operacionalização dos conceitos e variáveis; elaboração do instrumento de coleta de dados; pré-teste do instrumento; seleção da amostra; coleta e verificação dos dados; análise e interpretação dos dados; apresentação dos resultados </w:t>
      </w:r>
      <w:r w:rsidR="002745DF">
        <w:rPr>
          <w:rFonts w:ascii="Times New Roman" w:hAnsi="Times New Roman" w:cs="Times New Roman"/>
          <w:sz w:val="24"/>
          <w:szCs w:val="24"/>
        </w:rPr>
        <w:fldChar w:fldCharType="begin" w:fldLock="1"/>
      </w:r>
      <w:r w:rsidR="002745DF">
        <w:rPr>
          <w:rFonts w:ascii="Times New Roman" w:hAnsi="Times New Roman" w:cs="Times New Roman"/>
          <w:sz w:val="24"/>
          <w:szCs w:val="24"/>
        </w:rPr>
        <w:instrText>ADDIN CSL_CITATION {"citationItems":[{"id":"ITEM-1","itemData":{"DOI":"10.1111/j.1438-8677.1994.tb00406.x","ISBN":"8522431698","ISSN":"85-224-3169-8","PMID":"19405780","abstract":"Como encaminhar uma pesquisa; Como formular um problema de pesquisa; Como construir hipóteses; Como classificar as pesquisas; Como delinear uma pesquisa bibliográfica; Como delinear uma pesquisa documental; Como delinear uma pesquisa experimental; Como delinear um ensaio clínico; Como delinear um estudo de coorte; Como delinear um estudo caso-controle; Como delinear um levantamento; Como delinear um estudo de caso; Como delinear uma pesquisa etnográfica; Como delinear uma pesquisa fenomenológica; Como delinear uma pesquisa para desenvolver teoria fundamentada (grounded theory); Como delinear uma pesquisa-ação;Como delinear uma pesquisa participante; Como calcular o tempo e o custo do projeto; Como redigir o projeto de pesquisa.","author":[{"dropping-particle":"","family":"Gil","given":"Antonio Carlos","non-dropping-particle":"","parse-names":false,"suffix":""}],"container-title":"Como Elaborar Projetos de Pesquisa","id":"ITEM-1","issued":{"date-parts":[["2002"]]},"note":"Apresentado pela profa. Ana Cuperschimd, indicado para fazer passo-a-passo da metodologia","number-of-pages":"137-142","title":"Projetos de Pesquisa Como Elaborar","type":"book"},"uris":["http://www.mendeley.com/documents/?uuid=d4e7669f-d2a2-4117-a384-584f9b87f322"]}],"mendeley":{"formattedCitation":"(GIL, 2002)","plainTextFormattedCitation":"(GIL, 2002)","previouslyFormattedCitation":"(GIL, 2002)"},"properties":{"noteIndex":0},"schema":"https://github.com/citation-style-language/schema/raw/master/csl-citation.json"}</w:instrText>
      </w:r>
      <w:r w:rsidR="002745DF">
        <w:rPr>
          <w:rFonts w:ascii="Times New Roman" w:hAnsi="Times New Roman" w:cs="Times New Roman"/>
          <w:sz w:val="24"/>
          <w:szCs w:val="24"/>
        </w:rPr>
        <w:fldChar w:fldCharType="separate"/>
      </w:r>
      <w:r w:rsidR="002745DF" w:rsidRPr="002745DF">
        <w:rPr>
          <w:rFonts w:ascii="Times New Roman" w:hAnsi="Times New Roman" w:cs="Times New Roman"/>
          <w:noProof/>
          <w:sz w:val="24"/>
          <w:szCs w:val="24"/>
        </w:rPr>
        <w:t>(GIL, 2002)</w:t>
      </w:r>
      <w:r w:rsidR="002745DF">
        <w:rPr>
          <w:rFonts w:ascii="Times New Roman" w:hAnsi="Times New Roman" w:cs="Times New Roman"/>
          <w:sz w:val="24"/>
          <w:szCs w:val="24"/>
        </w:rPr>
        <w:fldChar w:fldCharType="end"/>
      </w:r>
      <w:r w:rsidRPr="00D22EFF">
        <w:rPr>
          <w:rFonts w:ascii="Times New Roman" w:hAnsi="Times New Roman" w:cs="Times New Roman"/>
          <w:sz w:val="24"/>
          <w:szCs w:val="24"/>
        </w:rPr>
        <w:t>.</w:t>
      </w:r>
    </w:p>
    <w:p w14:paraId="6D2443A2" w14:textId="77777777" w:rsidR="00D22EFF" w:rsidRDefault="00D22EFF" w:rsidP="00D22EFF">
      <w:pPr>
        <w:rPr>
          <w:rFonts w:ascii="Times New Roman" w:hAnsi="Times New Roman" w:cs="Times New Roman"/>
          <w:sz w:val="24"/>
          <w:szCs w:val="24"/>
        </w:rPr>
      </w:pPr>
      <w:r>
        <w:rPr>
          <w:rFonts w:ascii="Times New Roman" w:hAnsi="Times New Roman" w:cs="Times New Roman"/>
          <w:sz w:val="24"/>
          <w:szCs w:val="24"/>
        </w:rPr>
        <w:t>Para est</w:t>
      </w:r>
      <w:r w:rsidRPr="00D22EFF">
        <w:rPr>
          <w:rFonts w:ascii="Times New Roman" w:hAnsi="Times New Roman" w:cs="Times New Roman"/>
          <w:sz w:val="24"/>
          <w:szCs w:val="24"/>
        </w:rPr>
        <w:t>e trabalho, inicialmente, serão levados em consideração as seguintes características</w:t>
      </w:r>
      <w:r>
        <w:rPr>
          <w:rFonts w:ascii="Times New Roman" w:hAnsi="Times New Roman" w:cs="Times New Roman"/>
          <w:sz w:val="24"/>
          <w:szCs w:val="24"/>
        </w:rPr>
        <w:t>:</w:t>
      </w:r>
    </w:p>
    <w:p w14:paraId="64195215" w14:textId="77777777" w:rsidR="00D22EFF" w:rsidRDefault="00D22EFF" w:rsidP="00D22EFF">
      <w:pPr>
        <w:pStyle w:val="PargrafodaLista"/>
        <w:numPr>
          <w:ilvl w:val="0"/>
          <w:numId w:val="1"/>
        </w:numPr>
        <w:rPr>
          <w:rFonts w:ascii="Times New Roman" w:hAnsi="Times New Roman" w:cs="Times New Roman"/>
          <w:sz w:val="24"/>
          <w:szCs w:val="24"/>
        </w:rPr>
      </w:pPr>
      <w:r w:rsidRPr="00D22EFF">
        <w:rPr>
          <w:rFonts w:ascii="Times New Roman" w:hAnsi="Times New Roman" w:cs="Times New Roman"/>
          <w:sz w:val="24"/>
          <w:szCs w:val="24"/>
        </w:rPr>
        <w:t>Para as empresas:</w:t>
      </w:r>
    </w:p>
    <w:p w14:paraId="36400B54"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Nome;</w:t>
      </w:r>
    </w:p>
    <w:p w14:paraId="5C7939D5"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Atuação;</w:t>
      </w:r>
    </w:p>
    <w:p w14:paraId="3A064E64"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Locais de atuação;</w:t>
      </w:r>
    </w:p>
    <w:p w14:paraId="5113205D"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Quantidade de funcionários, com a seguinte consideração: microempresa, empresas com menos que 20 funcionários; pequena empresa, empresa que contém entre 20 e 99 funcionários; média para aquela que contenha entre 100 e 499 funcionários; e grande para empresas com mais de 500 funcionári</w:t>
      </w:r>
      <w:r>
        <w:rPr>
          <w:rFonts w:ascii="Times New Roman" w:hAnsi="Times New Roman" w:cs="Times New Roman"/>
          <w:sz w:val="24"/>
          <w:szCs w:val="24"/>
        </w:rPr>
        <w:t>os;</w:t>
      </w:r>
    </w:p>
    <w:p w14:paraId="3932AB56"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Quantidade de projetos em execução: quantidade de canteiros ativos, sinalizando obras em andamento;</w:t>
      </w:r>
    </w:p>
    <w:p w14:paraId="7D346CCC" w14:textId="7E279ED5"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 xml:space="preserve">Certificações: ISO 9001, ISO 14001 e OHSAS 18001 </w:t>
      </w:r>
      <w:r w:rsidR="002745DF">
        <w:rPr>
          <w:rFonts w:ascii="Times New Roman" w:hAnsi="Times New Roman" w:cs="Times New Roman"/>
          <w:sz w:val="24"/>
          <w:szCs w:val="24"/>
        </w:rPr>
        <w:fldChar w:fldCharType="begin" w:fldLock="1"/>
      </w:r>
      <w:r w:rsidR="001730CC">
        <w:rPr>
          <w:rFonts w:ascii="Times New Roman" w:hAnsi="Times New Roman" w:cs="Times New Roman"/>
          <w:sz w:val="24"/>
          <w:szCs w:val="24"/>
        </w:rPr>
        <w:instrText>ADDIN CSL_CITATION {"citationItems":[{"id":"ITEM-1","itemData":{"abstract":"Organizations of all kinds are increasingly concerned with achieving and demonstrating sound environmental performance by controlling the impacts of their activities, products and services on the environment, consistent with their environmental policy and objectives. They do so in the context of increasingly stringent legislation, the development of economic policies and other measures that foster environmental protection, and increased concern expressed by interested parties about environmental matters and sustainable development.","author":[{"dropping-particle":"","family":"ISO","given":"","non-dropping-particle":"","parse-names":false,"suffix":""}],"container-title":"Order A Journal On The Theory Of Ordered Sets And Its Applications","id":"ITEM-1","issued":{"date-parts":[["2004"]]},"title":"IS0 14001: Environmental management systems — Requirements with guidance for use","type":"article"},"uris":["http://www.mendeley.com/documents/?uuid=fb6545e5-7e4c-47fc-862d-9f76765bb62f"]},{"id":"ITEM-2","itemData":{"DOI":"ISBN 978-92-67-10650-2","ISBN":"978-92-67-10650-2","abstract":"ISO 9000 ISO 9001 (2015) ISO 9001 (2015) — Requisitos para los Sistemas de Gestión de la Calidad Interpretación libre de ISO/DIS 9001:2015 ISO 9001:2015 Página 2 de 33 ISO 9001 (2015) — Requisitos para los Sistemas de Gestión de la Calidad. Interpretación libre de ISO/DIS 9001:2015. 2 «Nombre_Organización_COMPLETO» Tabla de Contenido — Matriz de correlación ISO/DIS 9001:2015 / ISO 9001:2008 Norma Internacional ISO 9001:2015 (DIS) Norma actual ISO 9001:2008 Descripción del cambio en la nueva ISO 9001 (2015) Pág.","author":[{"dropping-particle":"","family":"ISO","given":"","non-dropping-particle":"","parse-names":false,"suffix":""}],"container-title":"International organization for standardization","id":"ITEM-2","issued":{"date-parts":[["2015"]]},"title":"ISO 9001:2015","type":"article-journal"},"uris":["http://www.mendeley.com/documents/?uuid=3be47fc1-089c-4c46-8a1d-0f446ab5e477"]},{"id":"ITEM-3","itemData":{"DOI":"ISBN 978 0 580 50802 8","ISBN":"9788481435368","abstract":"Manual que establece requisitos para implementar un Sistema de Gestión en Seguridad y Salud Ocupacional","author":[{"dropping-particle":"","family":"OHSAS Project group","given":"","non-dropping-particle":"","parse-names":false,"suffix":""}],"container-title":"OHSAS Project group","id":"ITEM-3","issued":{"date-parts":[["2007"]]},"title":"OHSAS 18001:2007 Sistema de Gestión en Seguridad y Salud Ocupacional – Requisitos","type":"article-journal"},"uris":["http://www.mendeley.com/documents/?uuid=6939d559-915f-4beb-92e0-e1c35a8b7a56"]}],"mendeley":{"formattedCitation":"(ISO, 2004, 2015; OHSAS PROJECT GROUP, 2007)","plainTextFormattedCitation":"(ISO, 2004, 2015; OHSAS PROJECT GROUP, 2007)","previouslyFormattedCitation":"(ISO, 2004, 2015; OHSAS PROJECT GROUP, 2007)"},"properties":{"noteIndex":0},"schema":"https://github.com/citation-style-language/schema/raw/master/csl-citation.json"}</w:instrText>
      </w:r>
      <w:r w:rsidR="002745DF">
        <w:rPr>
          <w:rFonts w:ascii="Times New Roman" w:hAnsi="Times New Roman" w:cs="Times New Roman"/>
          <w:sz w:val="24"/>
          <w:szCs w:val="24"/>
        </w:rPr>
        <w:fldChar w:fldCharType="separate"/>
      </w:r>
      <w:r w:rsidR="002745DF" w:rsidRPr="002745DF">
        <w:rPr>
          <w:rFonts w:ascii="Times New Roman" w:hAnsi="Times New Roman" w:cs="Times New Roman"/>
          <w:noProof/>
          <w:sz w:val="24"/>
          <w:szCs w:val="24"/>
        </w:rPr>
        <w:t>(ISO, 2004, 2015; OHSAS PROJECT GROUP, 2007)</w:t>
      </w:r>
      <w:r w:rsidR="002745DF">
        <w:rPr>
          <w:rFonts w:ascii="Times New Roman" w:hAnsi="Times New Roman" w:cs="Times New Roman"/>
          <w:sz w:val="24"/>
          <w:szCs w:val="24"/>
        </w:rPr>
        <w:fldChar w:fldCharType="end"/>
      </w:r>
      <w:r w:rsidRPr="00D22EFF">
        <w:rPr>
          <w:rFonts w:ascii="Times New Roman" w:hAnsi="Times New Roman" w:cs="Times New Roman"/>
          <w:sz w:val="24"/>
          <w:szCs w:val="24"/>
        </w:rPr>
        <w:t>;</w:t>
      </w:r>
    </w:p>
    <w:p w14:paraId="54A7A551" w14:textId="60E85D72"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Faturamento anual (ano anterior, 2018);</w:t>
      </w:r>
    </w:p>
    <w:p w14:paraId="4D55B82D" w14:textId="77777777" w:rsidR="00D22EFF" w:rsidRPr="00D22EFF" w:rsidRDefault="00D22EFF" w:rsidP="00D22EFF">
      <w:pPr>
        <w:pStyle w:val="PargrafodaLista"/>
        <w:ind w:left="1500"/>
        <w:rPr>
          <w:rFonts w:ascii="Times New Roman" w:hAnsi="Times New Roman" w:cs="Times New Roman"/>
          <w:sz w:val="24"/>
          <w:szCs w:val="24"/>
        </w:rPr>
      </w:pPr>
    </w:p>
    <w:p w14:paraId="57722BAF" w14:textId="77777777" w:rsidR="00D22EFF" w:rsidRDefault="00D22EFF" w:rsidP="00D22EFF">
      <w:pPr>
        <w:pStyle w:val="PargrafodaLista"/>
        <w:numPr>
          <w:ilvl w:val="0"/>
          <w:numId w:val="1"/>
        </w:numPr>
        <w:rPr>
          <w:rFonts w:ascii="Times New Roman" w:hAnsi="Times New Roman" w:cs="Times New Roman"/>
          <w:sz w:val="24"/>
          <w:szCs w:val="24"/>
        </w:rPr>
      </w:pPr>
      <w:r w:rsidRPr="00D22EFF">
        <w:rPr>
          <w:rFonts w:ascii="Times New Roman" w:hAnsi="Times New Roman" w:cs="Times New Roman"/>
          <w:sz w:val="24"/>
          <w:szCs w:val="24"/>
        </w:rPr>
        <w:t>Para os entrevistados:</w:t>
      </w:r>
    </w:p>
    <w:p w14:paraId="3CD1D129"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Faixa etária: menor que 30 anos, entre 30 e 50 anos e maior que 50 anos;</w:t>
      </w:r>
    </w:p>
    <w:p w14:paraId="71C054AD"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Gênero;</w:t>
      </w:r>
    </w:p>
    <w:p w14:paraId="3BB11386"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Formação mais alta;</w:t>
      </w:r>
    </w:p>
    <w:p w14:paraId="71DC3C0E"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Ano de conclusão;</w:t>
      </w:r>
    </w:p>
    <w:p w14:paraId="1C93566F"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Formação na área sustentável;</w:t>
      </w:r>
    </w:p>
    <w:p w14:paraId="601B29C9" w14:textId="77777777"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Tempo de atuação profissional;</w:t>
      </w:r>
    </w:p>
    <w:p w14:paraId="143A8735" w14:textId="7BDD9CDF"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Cargo;</w:t>
      </w:r>
    </w:p>
    <w:p w14:paraId="7FD8090D" w14:textId="77777777" w:rsidR="00D22EFF" w:rsidRDefault="00D22EFF" w:rsidP="00D22EFF">
      <w:pPr>
        <w:pStyle w:val="PargrafodaLista"/>
        <w:ind w:left="1500"/>
        <w:rPr>
          <w:rFonts w:ascii="Times New Roman" w:hAnsi="Times New Roman" w:cs="Times New Roman"/>
          <w:sz w:val="24"/>
          <w:szCs w:val="24"/>
        </w:rPr>
      </w:pPr>
    </w:p>
    <w:p w14:paraId="11AF1937" w14:textId="77777777" w:rsidR="00D22EFF" w:rsidRDefault="00D22EFF" w:rsidP="00D22EFF">
      <w:pPr>
        <w:pStyle w:val="PargrafodaLista"/>
        <w:numPr>
          <w:ilvl w:val="0"/>
          <w:numId w:val="1"/>
        </w:numPr>
        <w:rPr>
          <w:rFonts w:ascii="Times New Roman" w:hAnsi="Times New Roman" w:cs="Times New Roman"/>
          <w:sz w:val="24"/>
          <w:szCs w:val="24"/>
        </w:rPr>
      </w:pPr>
      <w:r w:rsidRPr="00D22EFF">
        <w:rPr>
          <w:rFonts w:ascii="Times New Roman" w:hAnsi="Times New Roman" w:cs="Times New Roman"/>
          <w:sz w:val="24"/>
          <w:szCs w:val="24"/>
        </w:rPr>
        <w:lastRenderedPageBreak/>
        <w:t xml:space="preserve"> Para cada um dos indicadores selecionados:</w:t>
      </w:r>
    </w:p>
    <w:p w14:paraId="5D7C6175" w14:textId="0E487DD9" w:rsidR="00D22EFF" w:rsidRDefault="00D22EFF" w:rsidP="00D22EFF">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Nível de importância do indicador para empresa</w:t>
      </w:r>
      <w:r>
        <w:rPr>
          <w:rFonts w:ascii="Times New Roman" w:hAnsi="Times New Roman" w:cs="Times New Roman"/>
          <w:sz w:val="24"/>
          <w:szCs w:val="24"/>
        </w:rPr>
        <w:t>, a ser avaliada de acordo com a Escala Likert, onde:</w:t>
      </w:r>
    </w:p>
    <w:p w14:paraId="5FF4535D" w14:textId="5E74017B" w:rsidR="00D22EFF" w:rsidRPr="00D22EFF" w:rsidRDefault="00D22EFF" w:rsidP="00D22EFF">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 xml:space="preserve">5 </w:t>
      </w:r>
      <w:r w:rsidR="00B95283">
        <w:rPr>
          <w:rFonts w:ascii="Times New Roman" w:hAnsi="Times New Roman" w:cs="Times New Roman"/>
          <w:sz w:val="24"/>
          <w:szCs w:val="24"/>
        </w:rPr>
        <w:t xml:space="preserve">= </w:t>
      </w:r>
      <w:r w:rsidR="00B95283" w:rsidRPr="00D22EFF">
        <w:rPr>
          <w:rFonts w:ascii="Times New Roman" w:hAnsi="Times New Roman" w:cs="Times New Roman"/>
          <w:sz w:val="24"/>
          <w:szCs w:val="24"/>
        </w:rPr>
        <w:t>muito</w:t>
      </w:r>
      <w:r w:rsidRPr="00D22EFF">
        <w:rPr>
          <w:rFonts w:ascii="Times New Roman" w:hAnsi="Times New Roman" w:cs="Times New Roman"/>
          <w:sz w:val="24"/>
          <w:szCs w:val="24"/>
        </w:rPr>
        <w:t xml:space="preserve"> importante;</w:t>
      </w:r>
    </w:p>
    <w:p w14:paraId="3B2F0588" w14:textId="2D4B5751" w:rsidR="00D22EFF" w:rsidRPr="00D22EFF" w:rsidRDefault="00D22EFF" w:rsidP="00D22EFF">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 xml:space="preserve">4 </w:t>
      </w:r>
      <w:r w:rsidR="00B95283">
        <w:rPr>
          <w:rFonts w:ascii="Times New Roman" w:hAnsi="Times New Roman" w:cs="Times New Roman"/>
          <w:sz w:val="24"/>
          <w:szCs w:val="24"/>
        </w:rPr>
        <w:t xml:space="preserve">= </w:t>
      </w:r>
      <w:r w:rsidR="00B95283" w:rsidRPr="00D22EFF">
        <w:rPr>
          <w:rFonts w:ascii="Times New Roman" w:hAnsi="Times New Roman" w:cs="Times New Roman"/>
          <w:sz w:val="24"/>
          <w:szCs w:val="24"/>
        </w:rPr>
        <w:t>importante</w:t>
      </w:r>
      <w:r w:rsidRPr="00D22EFF">
        <w:rPr>
          <w:rFonts w:ascii="Times New Roman" w:hAnsi="Times New Roman" w:cs="Times New Roman"/>
          <w:sz w:val="24"/>
          <w:szCs w:val="24"/>
        </w:rPr>
        <w:t>;</w:t>
      </w:r>
    </w:p>
    <w:p w14:paraId="15F3F7B8" w14:textId="2146F970" w:rsidR="00D22EFF" w:rsidRPr="00D22EFF" w:rsidRDefault="00B95283" w:rsidP="00D22EFF">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 xml:space="preserve">3 = </w:t>
      </w:r>
      <w:r w:rsidRPr="00D22EFF">
        <w:rPr>
          <w:rFonts w:ascii="Times New Roman" w:hAnsi="Times New Roman" w:cs="Times New Roman"/>
          <w:sz w:val="24"/>
          <w:szCs w:val="24"/>
        </w:rPr>
        <w:t>neutro</w:t>
      </w:r>
      <w:r w:rsidR="00D22EFF" w:rsidRPr="00D22EFF">
        <w:rPr>
          <w:rFonts w:ascii="Times New Roman" w:hAnsi="Times New Roman" w:cs="Times New Roman"/>
          <w:sz w:val="24"/>
          <w:szCs w:val="24"/>
        </w:rPr>
        <w:t>;</w:t>
      </w:r>
    </w:p>
    <w:p w14:paraId="64757A97" w14:textId="59D56FCA" w:rsidR="00B95283" w:rsidRDefault="00B95283" w:rsidP="00B95283">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 xml:space="preserve">2 = </w:t>
      </w:r>
      <w:r w:rsidRPr="00D22EFF">
        <w:rPr>
          <w:rFonts w:ascii="Times New Roman" w:hAnsi="Times New Roman" w:cs="Times New Roman"/>
          <w:sz w:val="24"/>
          <w:szCs w:val="24"/>
        </w:rPr>
        <w:t>pouco</w:t>
      </w:r>
      <w:r w:rsidR="00D22EFF" w:rsidRPr="00D22EFF">
        <w:rPr>
          <w:rFonts w:ascii="Times New Roman" w:hAnsi="Times New Roman" w:cs="Times New Roman"/>
          <w:sz w:val="24"/>
          <w:szCs w:val="24"/>
        </w:rPr>
        <w:t xml:space="preserve"> importante;</w:t>
      </w:r>
    </w:p>
    <w:p w14:paraId="12E512A8" w14:textId="61629C22" w:rsidR="00D22EFF" w:rsidRPr="00B95283" w:rsidRDefault="00B95283" w:rsidP="00B95283">
      <w:pPr>
        <w:pStyle w:val="PargrafodaLista"/>
        <w:numPr>
          <w:ilvl w:val="2"/>
          <w:numId w:val="1"/>
        </w:numPr>
        <w:rPr>
          <w:rFonts w:ascii="Times New Roman" w:hAnsi="Times New Roman" w:cs="Times New Roman"/>
          <w:sz w:val="24"/>
          <w:szCs w:val="24"/>
        </w:rPr>
      </w:pPr>
      <w:r w:rsidRPr="00B95283">
        <w:rPr>
          <w:rFonts w:ascii="Times New Roman" w:hAnsi="Times New Roman" w:cs="Times New Roman"/>
          <w:sz w:val="24"/>
          <w:szCs w:val="24"/>
        </w:rPr>
        <w:t>1 = irrelevante</w:t>
      </w:r>
      <w:r w:rsidR="00D22EFF" w:rsidRPr="00B95283">
        <w:rPr>
          <w:rFonts w:ascii="Times New Roman" w:hAnsi="Times New Roman" w:cs="Times New Roman"/>
          <w:sz w:val="24"/>
          <w:szCs w:val="24"/>
        </w:rPr>
        <w:t>.</w:t>
      </w:r>
    </w:p>
    <w:p w14:paraId="41FA41E9" w14:textId="21FA38FD" w:rsidR="00B95283" w:rsidRDefault="00D22EFF" w:rsidP="00B95283">
      <w:pPr>
        <w:pStyle w:val="PargrafodaLista"/>
        <w:numPr>
          <w:ilvl w:val="1"/>
          <w:numId w:val="1"/>
        </w:numPr>
        <w:rPr>
          <w:rFonts w:ascii="Times New Roman" w:hAnsi="Times New Roman" w:cs="Times New Roman"/>
          <w:sz w:val="24"/>
          <w:szCs w:val="24"/>
        </w:rPr>
      </w:pPr>
      <w:r w:rsidRPr="00D22EFF">
        <w:rPr>
          <w:rFonts w:ascii="Times New Roman" w:hAnsi="Times New Roman" w:cs="Times New Roman"/>
          <w:sz w:val="24"/>
          <w:szCs w:val="24"/>
        </w:rPr>
        <w:t>Grau de influência do in</w:t>
      </w:r>
      <w:r w:rsidR="00B95283">
        <w:rPr>
          <w:rFonts w:ascii="Times New Roman" w:hAnsi="Times New Roman" w:cs="Times New Roman"/>
          <w:sz w:val="24"/>
          <w:szCs w:val="24"/>
        </w:rPr>
        <w:t>dicador nas tomadas de decisões,</w:t>
      </w:r>
      <w:r w:rsidR="00B95283" w:rsidRPr="00B95283">
        <w:rPr>
          <w:rFonts w:ascii="Times New Roman" w:hAnsi="Times New Roman" w:cs="Times New Roman"/>
          <w:sz w:val="24"/>
          <w:szCs w:val="24"/>
        </w:rPr>
        <w:t xml:space="preserve"> </w:t>
      </w:r>
      <w:r w:rsidR="00B95283">
        <w:rPr>
          <w:rFonts w:ascii="Times New Roman" w:hAnsi="Times New Roman" w:cs="Times New Roman"/>
          <w:sz w:val="24"/>
          <w:szCs w:val="24"/>
        </w:rPr>
        <w:t>a ser avaliada de acordo com a Escala Likert, onde:</w:t>
      </w:r>
    </w:p>
    <w:p w14:paraId="068936C0" w14:textId="6B6137FE" w:rsidR="00B95283" w:rsidRPr="00B95283" w:rsidRDefault="00B95283" w:rsidP="00B95283">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5 = m</w:t>
      </w:r>
      <w:r w:rsidRPr="00B95283">
        <w:rPr>
          <w:rFonts w:ascii="Times New Roman" w:hAnsi="Times New Roman" w:cs="Times New Roman"/>
          <w:sz w:val="24"/>
          <w:szCs w:val="24"/>
        </w:rPr>
        <w:t>uitíssimo influente;</w:t>
      </w:r>
    </w:p>
    <w:p w14:paraId="590604F1" w14:textId="4512D5D1" w:rsidR="00B95283" w:rsidRPr="00B95283" w:rsidRDefault="00B95283" w:rsidP="00B95283">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4 = m</w:t>
      </w:r>
      <w:r w:rsidRPr="00B95283">
        <w:rPr>
          <w:rFonts w:ascii="Times New Roman" w:hAnsi="Times New Roman" w:cs="Times New Roman"/>
          <w:sz w:val="24"/>
          <w:szCs w:val="24"/>
        </w:rPr>
        <w:t>uito influente;</w:t>
      </w:r>
    </w:p>
    <w:p w14:paraId="56F87D4C" w14:textId="2D3F7E1E" w:rsidR="00B95283" w:rsidRPr="00B95283" w:rsidRDefault="00B95283" w:rsidP="00B95283">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3 = i</w:t>
      </w:r>
      <w:r w:rsidRPr="00B95283">
        <w:rPr>
          <w:rFonts w:ascii="Times New Roman" w:hAnsi="Times New Roman" w:cs="Times New Roman"/>
          <w:sz w:val="24"/>
          <w:szCs w:val="24"/>
        </w:rPr>
        <w:t>nfluente;</w:t>
      </w:r>
    </w:p>
    <w:p w14:paraId="15EBAE18" w14:textId="2C23059B" w:rsidR="00B95283" w:rsidRPr="00B95283" w:rsidRDefault="00B95283" w:rsidP="00B95283">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2 = p</w:t>
      </w:r>
      <w:r w:rsidRPr="00B95283">
        <w:rPr>
          <w:rFonts w:ascii="Times New Roman" w:hAnsi="Times New Roman" w:cs="Times New Roman"/>
          <w:sz w:val="24"/>
          <w:szCs w:val="24"/>
        </w:rPr>
        <w:t>ouco influente;</w:t>
      </w:r>
    </w:p>
    <w:p w14:paraId="07B3AA36" w14:textId="52AC5AC4" w:rsidR="00D22EFF" w:rsidRPr="00B95283" w:rsidRDefault="00B95283" w:rsidP="00B95283">
      <w:pPr>
        <w:pStyle w:val="PargrafodaLista"/>
        <w:numPr>
          <w:ilvl w:val="2"/>
          <w:numId w:val="1"/>
        </w:numPr>
        <w:rPr>
          <w:rFonts w:ascii="Times New Roman" w:hAnsi="Times New Roman" w:cs="Times New Roman"/>
          <w:sz w:val="24"/>
          <w:szCs w:val="24"/>
        </w:rPr>
      </w:pPr>
      <w:r>
        <w:rPr>
          <w:rFonts w:ascii="Times New Roman" w:hAnsi="Times New Roman" w:cs="Times New Roman"/>
          <w:sz w:val="24"/>
          <w:szCs w:val="24"/>
        </w:rPr>
        <w:t>1 = i</w:t>
      </w:r>
      <w:r w:rsidRPr="00B95283">
        <w:rPr>
          <w:rFonts w:ascii="Times New Roman" w:hAnsi="Times New Roman" w:cs="Times New Roman"/>
          <w:sz w:val="24"/>
          <w:szCs w:val="24"/>
        </w:rPr>
        <w:t xml:space="preserve">rrelevante. </w:t>
      </w:r>
    </w:p>
    <w:p w14:paraId="6F6B0106" w14:textId="5F36797F" w:rsidR="00D22EFF" w:rsidRDefault="00B95283" w:rsidP="00B95283">
      <w:pPr>
        <w:pStyle w:val="PargrafodaLista"/>
        <w:numPr>
          <w:ilvl w:val="1"/>
          <w:numId w:val="1"/>
        </w:numPr>
        <w:rPr>
          <w:rFonts w:ascii="Times New Roman" w:hAnsi="Times New Roman" w:cs="Times New Roman"/>
          <w:sz w:val="24"/>
          <w:szCs w:val="24"/>
        </w:rPr>
      </w:pPr>
      <w:r>
        <w:rPr>
          <w:rFonts w:ascii="Times New Roman" w:hAnsi="Times New Roman" w:cs="Times New Roman"/>
          <w:sz w:val="24"/>
          <w:szCs w:val="24"/>
        </w:rPr>
        <w:t>Coleta da informação atual, por análise de frequência, com as seguintes opções de respostas:</w:t>
      </w:r>
    </w:p>
    <w:p w14:paraId="75159D26" w14:textId="77777777" w:rsidR="00B95283" w:rsidRPr="00B95283" w:rsidRDefault="00B95283" w:rsidP="00B95283">
      <w:pPr>
        <w:pStyle w:val="PargrafodaLista"/>
        <w:numPr>
          <w:ilvl w:val="2"/>
          <w:numId w:val="1"/>
        </w:numPr>
        <w:rPr>
          <w:rFonts w:ascii="Times New Roman" w:hAnsi="Times New Roman" w:cs="Times New Roman"/>
          <w:sz w:val="24"/>
          <w:szCs w:val="24"/>
        </w:rPr>
      </w:pPr>
      <w:r w:rsidRPr="00B95283">
        <w:rPr>
          <w:rFonts w:ascii="Times New Roman" w:hAnsi="Times New Roman" w:cs="Times New Roman"/>
          <w:sz w:val="24"/>
          <w:szCs w:val="24"/>
        </w:rPr>
        <w:t>Já coleta de maneira similar ao GRI;</w:t>
      </w:r>
    </w:p>
    <w:p w14:paraId="593AB60F" w14:textId="77777777" w:rsidR="00B95283" w:rsidRPr="00B95283" w:rsidRDefault="00B95283" w:rsidP="00B95283">
      <w:pPr>
        <w:pStyle w:val="PargrafodaLista"/>
        <w:numPr>
          <w:ilvl w:val="2"/>
          <w:numId w:val="1"/>
        </w:numPr>
        <w:rPr>
          <w:rFonts w:ascii="Times New Roman" w:hAnsi="Times New Roman" w:cs="Times New Roman"/>
          <w:sz w:val="24"/>
          <w:szCs w:val="24"/>
        </w:rPr>
      </w:pPr>
      <w:r w:rsidRPr="00B95283">
        <w:rPr>
          <w:rFonts w:ascii="Times New Roman" w:hAnsi="Times New Roman" w:cs="Times New Roman"/>
          <w:sz w:val="24"/>
          <w:szCs w:val="24"/>
        </w:rPr>
        <w:t>Não coleta igual, mas conseguiria com pouco esforço;</w:t>
      </w:r>
    </w:p>
    <w:p w14:paraId="3C675602" w14:textId="77777777" w:rsidR="00B95283" w:rsidRPr="00B95283" w:rsidRDefault="00B95283" w:rsidP="00B95283">
      <w:pPr>
        <w:pStyle w:val="PargrafodaLista"/>
        <w:numPr>
          <w:ilvl w:val="2"/>
          <w:numId w:val="1"/>
        </w:numPr>
        <w:rPr>
          <w:rFonts w:ascii="Times New Roman" w:hAnsi="Times New Roman" w:cs="Times New Roman"/>
          <w:sz w:val="24"/>
          <w:szCs w:val="24"/>
        </w:rPr>
      </w:pPr>
      <w:r w:rsidRPr="00B95283">
        <w:rPr>
          <w:rFonts w:ascii="Times New Roman" w:hAnsi="Times New Roman" w:cs="Times New Roman"/>
          <w:sz w:val="24"/>
          <w:szCs w:val="24"/>
        </w:rPr>
        <w:t>Não coleta igual, além de necessitar de muito esforço para coleta;</w:t>
      </w:r>
    </w:p>
    <w:p w14:paraId="47DFE7FC" w14:textId="30FF44AA" w:rsidR="00B95283" w:rsidRDefault="00B95283" w:rsidP="00B95283">
      <w:pPr>
        <w:pStyle w:val="PargrafodaLista"/>
        <w:numPr>
          <w:ilvl w:val="2"/>
          <w:numId w:val="1"/>
        </w:numPr>
        <w:rPr>
          <w:rFonts w:ascii="Times New Roman" w:hAnsi="Times New Roman" w:cs="Times New Roman"/>
          <w:sz w:val="24"/>
          <w:szCs w:val="24"/>
        </w:rPr>
      </w:pPr>
      <w:r w:rsidRPr="00B95283">
        <w:rPr>
          <w:rFonts w:ascii="Times New Roman" w:hAnsi="Times New Roman" w:cs="Times New Roman"/>
          <w:sz w:val="24"/>
          <w:szCs w:val="24"/>
        </w:rPr>
        <w:t>Não aplicável.</w:t>
      </w:r>
    </w:p>
    <w:p w14:paraId="4BFA0B45" w14:textId="0E7849C0" w:rsidR="00B95283" w:rsidRPr="00B95283" w:rsidRDefault="00B95283" w:rsidP="00B95283">
      <w:pPr>
        <w:rPr>
          <w:rFonts w:ascii="Times New Roman" w:hAnsi="Times New Roman" w:cs="Times New Roman"/>
          <w:sz w:val="24"/>
          <w:szCs w:val="24"/>
        </w:rPr>
      </w:pPr>
      <w:r>
        <w:rPr>
          <w:rFonts w:ascii="Times New Roman" w:hAnsi="Times New Roman" w:cs="Times New Roman"/>
          <w:sz w:val="24"/>
          <w:szCs w:val="24"/>
        </w:rPr>
        <w:t>A amostra será selecionada diante das empresas associadas na Associação de Empresas do Mercado Imobiliário de Pernambuco (ADEMI-PE), onde serão entrevistadas as empresas construtoras de edificações de médio ou grande porte, ou seja, que possuam mais que 100 colaboradores, atualmente.</w:t>
      </w:r>
    </w:p>
    <w:p w14:paraId="450FF38C" w14:textId="754DDFC2" w:rsidR="00B95283" w:rsidRDefault="00B95283" w:rsidP="00B95283">
      <w:pPr>
        <w:rPr>
          <w:rFonts w:ascii="Times New Roman" w:hAnsi="Times New Roman" w:cs="Times New Roman"/>
          <w:sz w:val="24"/>
          <w:szCs w:val="24"/>
        </w:rPr>
      </w:pPr>
      <w:r w:rsidRPr="00B95283">
        <w:rPr>
          <w:rFonts w:ascii="Times New Roman" w:hAnsi="Times New Roman" w:cs="Times New Roman"/>
          <w:sz w:val="24"/>
          <w:szCs w:val="24"/>
        </w:rPr>
        <w:t>Com a obtenção das informações dos indicadores, pretende-se explorar a percepção de valor dada à cada tópico e indicador pelas empresas locais. Desta maneira, observa-se quais dos indicadores selecionados para pesquisa são mais propícios de serem implementados em empresas construtoras de edificações verticais no estágio atual de desenvolvimento local. O próprio Global Reporting Initiative (2016) sugere a priorização dos indic</w:t>
      </w:r>
      <w:r>
        <w:rPr>
          <w:rFonts w:ascii="Times New Roman" w:hAnsi="Times New Roman" w:cs="Times New Roman"/>
          <w:sz w:val="24"/>
          <w:szCs w:val="24"/>
        </w:rPr>
        <w:t xml:space="preserve">adores de acordo com a Figura </w:t>
      </w:r>
      <w:r w:rsidRPr="00B95283">
        <w:rPr>
          <w:rFonts w:ascii="Times New Roman" w:hAnsi="Times New Roman" w:cs="Times New Roman"/>
          <w:sz w:val="24"/>
          <w:szCs w:val="24"/>
        </w:rPr>
        <w:t xml:space="preserve">1, que compara a percepção de valor do indicador em termos de importância dos impactos econômicos, ambientais e sociais (eixo </w:t>
      </w:r>
      <w:r w:rsidRPr="00B95283">
        <w:rPr>
          <w:rFonts w:ascii="Times New Roman" w:hAnsi="Times New Roman" w:cs="Times New Roman"/>
          <w:sz w:val="24"/>
          <w:szCs w:val="24"/>
        </w:rPr>
        <w:lastRenderedPageBreak/>
        <w:t>horizontal), com a influência do indicador nas tomadas de decisões da empresa (eixo vertical).</w:t>
      </w:r>
    </w:p>
    <w:p w14:paraId="1628A696" w14:textId="39C2FB8C" w:rsidR="00B95283" w:rsidRDefault="00B95283" w:rsidP="00B95283">
      <w:pPr>
        <w:pStyle w:val="Figura"/>
      </w:pPr>
      <w:bookmarkStart w:id="2" w:name="_Ref14179177"/>
      <w:bookmarkStart w:id="3" w:name="_Toc15932037"/>
      <w:r w:rsidRPr="006D769F">
        <w:rPr>
          <w:rStyle w:val="FiguraChar"/>
        </w:rPr>
        <w:t xml:space="preserve">Figura </w:t>
      </w:r>
      <w:bookmarkEnd w:id="2"/>
      <w:r>
        <w:rPr>
          <w:rStyle w:val="FiguraChar"/>
        </w:rPr>
        <w:t xml:space="preserve">1 – </w:t>
      </w:r>
      <w:r w:rsidRPr="006D769F">
        <w:rPr>
          <w:rStyle w:val="FiguraChar"/>
        </w:rPr>
        <w:t>Representação visual da priorização</w:t>
      </w:r>
      <w:r>
        <w:t xml:space="preserve"> dos tópicos</w:t>
      </w:r>
      <w:bookmarkEnd w:id="3"/>
    </w:p>
    <w:p w14:paraId="308B9166" w14:textId="4E294832" w:rsidR="00B95283" w:rsidRDefault="00B95283" w:rsidP="00B95283">
      <w:pPr>
        <w:jc w:val="center"/>
      </w:pPr>
      <w:r w:rsidRPr="00B95283">
        <w:rPr>
          <w:noProof/>
          <w:lang w:eastAsia="pt-BR"/>
        </w:rPr>
        <mc:AlternateContent>
          <mc:Choice Requires="wpg">
            <w:drawing>
              <wp:inline distT="0" distB="0" distL="0" distR="0" wp14:anchorId="64246FD3" wp14:editId="64E2DCCC">
                <wp:extent cx="3257550" cy="3371850"/>
                <wp:effectExtent l="0" t="0" r="0" b="0"/>
                <wp:docPr id="7" name="Agrupar 6"/>
                <wp:cNvGraphicFramePr/>
                <a:graphic xmlns:a="http://schemas.openxmlformats.org/drawingml/2006/main">
                  <a:graphicData uri="http://schemas.microsoft.com/office/word/2010/wordprocessingGroup">
                    <wpg:wgp>
                      <wpg:cNvGrpSpPr/>
                      <wpg:grpSpPr>
                        <a:xfrm>
                          <a:off x="0" y="0"/>
                          <a:ext cx="3257550" cy="3371850"/>
                          <a:chOff x="0" y="0"/>
                          <a:chExt cx="3257550" cy="3371850"/>
                        </a:xfrm>
                      </wpg:grpSpPr>
                      <pic:pic xmlns:pic="http://schemas.openxmlformats.org/drawingml/2006/picture">
                        <pic:nvPicPr>
                          <pic:cNvPr id="2" name="Imagem 2" descr="image"/>
                          <pic:cNvPicPr/>
                        </pic:nvPicPr>
                        <pic:blipFill>
                          <a:blip r:embed="rId8">
                            <a:extLst>
                              <a:ext uri="{28A0092B-C50C-407E-A947-70E740481C1C}">
                                <a14:useLocalDpi xmlns:a14="http://schemas.microsoft.com/office/drawing/2010/main" val="0"/>
                              </a:ext>
                            </a:extLst>
                          </a:blip>
                          <a:srcRect l="2774" t="12962" r="2478" b="1340"/>
                          <a:stretch>
                            <a:fillRect/>
                          </a:stretch>
                        </pic:blipFill>
                        <pic:spPr bwMode="auto">
                          <a:xfrm>
                            <a:off x="0" y="0"/>
                            <a:ext cx="3257550" cy="3371850"/>
                          </a:xfrm>
                          <a:prstGeom prst="rect">
                            <a:avLst/>
                          </a:prstGeom>
                          <a:noFill/>
                          <a:ln>
                            <a:noFill/>
                          </a:ln>
                        </pic:spPr>
                      </pic:pic>
                      <wps:wsp>
                        <wps:cNvPr id="3" name="Retângulo 3"/>
                        <wps:cNvSpPr/>
                        <wps:spPr>
                          <a:xfrm>
                            <a:off x="415671" y="2764917"/>
                            <a:ext cx="2569464" cy="493776"/>
                          </a:xfrm>
                          <a:prstGeom prst="rect">
                            <a:avLst/>
                          </a:prstGeom>
                          <a:solidFill>
                            <a:srgbClr val="EBE8E8"/>
                          </a:solidFill>
                          <a:ln>
                            <a:solidFill>
                              <a:srgbClr val="EB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E5E86F" w14:textId="77777777" w:rsidR="002745DF" w:rsidRDefault="002745DF" w:rsidP="00B95283">
                              <w:pPr>
                                <w:pStyle w:val="NormalWeb"/>
                                <w:spacing w:before="0" w:beforeAutospacing="0" w:after="0" w:afterAutospacing="0"/>
                                <w:jc w:val="center"/>
                              </w:pPr>
                              <w:r>
                                <w:rPr>
                                  <w:color w:val="09264C"/>
                                  <w:kern w:val="24"/>
                                  <w:sz w:val="28"/>
                                  <w:szCs w:val="28"/>
                                </w:rPr>
                                <w:t>Nível de importância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Retângulo 4"/>
                        <wps:cNvSpPr/>
                        <wps:spPr>
                          <a:xfrm rot="16200000">
                            <a:off x="-1037844" y="1307973"/>
                            <a:ext cx="2569464" cy="493776"/>
                          </a:xfrm>
                          <a:prstGeom prst="rect">
                            <a:avLst/>
                          </a:prstGeom>
                          <a:solidFill>
                            <a:srgbClr val="EBE8E8"/>
                          </a:solidFill>
                          <a:ln>
                            <a:solidFill>
                              <a:srgbClr val="EBE8E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A48B6" w14:textId="77777777" w:rsidR="002745DF" w:rsidRDefault="002745DF" w:rsidP="00B95283">
                              <w:pPr>
                                <w:pStyle w:val="NormalWeb"/>
                                <w:spacing w:before="0" w:beforeAutospacing="0" w:after="0" w:afterAutospacing="0"/>
                                <w:jc w:val="center"/>
                              </w:pPr>
                              <w:r>
                                <w:rPr>
                                  <w:color w:val="09264C"/>
                                  <w:kern w:val="24"/>
                                  <w:sz w:val="28"/>
                                  <w:szCs w:val="28"/>
                                </w:rPr>
                                <w:t>Nível de influência nas decisões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4246FD3" id="Agrupar 6" o:spid="_x0000_s1026" style="width:256.5pt;height:265.5pt;mso-position-horizontal-relative:char;mso-position-vertical-relative:line" coordsize="32575,33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image" style="position:absolute;width:32575;height:3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">
                  <v:imagedata r:id="rId9" o:title="image" croptop="8495f" cropbottom="878f" cropleft="1818f" cropright="1624f"/>
                </v:shape>
                <v:rect id="Retângulo 3" o:spid="_x0000_s1028" style="position:absolute;left:4156;top:27649;width:25695;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" fillcolor="#ebe8e8" strokecolor="#ebe8e8" strokeweight="1pt">
                  <v:textbox>
                    <w:txbxContent>
                      <w:p w14:paraId="4CE5E86F" w14:textId="77777777" w:rsidR="002745DF" w:rsidRDefault="002745DF" w:rsidP="00B95283">
                        <w:pPr>
                          <w:pStyle w:val="NormalWeb"/>
                          <w:spacing w:before="0" w:beforeAutospacing="0" w:after="0" w:afterAutospacing="0"/>
                          <w:jc w:val="center"/>
                        </w:pPr>
                        <w:r>
                          <w:rPr>
                            <w:color w:val="09264C"/>
                            <w:kern w:val="24"/>
                            <w:sz w:val="28"/>
                            <w:szCs w:val="28"/>
                          </w:rPr>
                          <w:t>Nível de importância</w:t>
                        </w:r>
                      </w:p>
                    </w:txbxContent>
                  </v:textbox>
                </v:rect>
                <v:rect id="Retângulo 4" o:spid="_x0000_s1029" style="position:absolute;left:-10378;top:13079;width:25694;height:4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" fillcolor="#ebe8e8" strokecolor="#ebe8e8" strokeweight="1pt">
                  <v:textbox>
                    <w:txbxContent>
                      <w:p w14:paraId="0D7A48B6" w14:textId="77777777" w:rsidR="002745DF" w:rsidRDefault="002745DF" w:rsidP="00B95283">
                        <w:pPr>
                          <w:pStyle w:val="NormalWeb"/>
                          <w:spacing w:before="0" w:beforeAutospacing="0" w:after="0" w:afterAutospacing="0"/>
                          <w:jc w:val="center"/>
                        </w:pPr>
                        <w:r>
                          <w:rPr>
                            <w:color w:val="09264C"/>
                            <w:kern w:val="24"/>
                            <w:sz w:val="28"/>
                            <w:szCs w:val="28"/>
                          </w:rPr>
                          <w:t>Nível de influência nas decisões</w:t>
                        </w:r>
                      </w:p>
                    </w:txbxContent>
                  </v:textbox>
                </v:rect>
                <w10:anchorlock/>
              </v:group>
            </w:pict>
          </mc:Fallback>
        </mc:AlternateContent>
      </w:r>
    </w:p>
    <w:p w14:paraId="7F754598" w14:textId="29842918" w:rsidR="00B95283" w:rsidRDefault="00B95283" w:rsidP="00B95283">
      <w:pPr>
        <w:jc w:val="center"/>
      </w:pPr>
    </w:p>
    <w:p w14:paraId="7555C5C7" w14:textId="70187503" w:rsidR="00B95283" w:rsidRDefault="00B95283" w:rsidP="00B95283">
      <w:pPr>
        <w:pStyle w:val="Figura"/>
      </w:pPr>
      <w:r>
        <w:t xml:space="preserve">Fonte: Adaptado do </w:t>
      </w:r>
      <w:r>
        <w:fldChar w:fldCharType="begin" w:fldLock="1"/>
      </w:r>
      <w:r>
        <w:instrText>ADDIN CSL_CITATION {"citationItems":[{"id":"ITEM-1","itemData":{"author":[{"dropping-particle":"","family":"GRI","given":"","non-dropping-particle":"","parse-names":false,"suffix":""}],"id":"ITEM-1","issued":{"date-parts":[["2016"]]},"title":"Gri 101: fundamentos 2016 101","type":"article-journal"},"uris":["http://www.mendeley.com/documents/?uuid=4e2f2402-3431-47ef-a93e-0b88f4babcb5"]}],"mendeley":{"formattedCitation":"(GRI, 2016)","manualFormatting":"Global Reporting Initiative (2016)","plainTextFormattedCitation":"(GRI, 2016)","previouslyFormattedCitation":"(GRI, 2016)"},"properties":{"noteIndex":0},"schema":"https://github.com/citation-style-language/schema/raw/master/csl-citation.json"}</w:instrText>
      </w:r>
      <w:r>
        <w:fldChar w:fldCharType="separate"/>
      </w:r>
      <w:r w:rsidRPr="006D769F">
        <w:rPr>
          <w:noProof/>
        </w:rPr>
        <w:t>G</w:t>
      </w:r>
      <w:r>
        <w:rPr>
          <w:noProof/>
        </w:rPr>
        <w:t xml:space="preserve">lobal </w:t>
      </w:r>
      <w:r w:rsidRPr="006D769F">
        <w:rPr>
          <w:noProof/>
        </w:rPr>
        <w:t>R</w:t>
      </w:r>
      <w:r>
        <w:rPr>
          <w:noProof/>
        </w:rPr>
        <w:t xml:space="preserve">eporting </w:t>
      </w:r>
      <w:r w:rsidRPr="006D769F">
        <w:rPr>
          <w:noProof/>
        </w:rPr>
        <w:t>I</w:t>
      </w:r>
      <w:r>
        <w:rPr>
          <w:noProof/>
        </w:rPr>
        <w:t>nitiative (</w:t>
      </w:r>
      <w:r w:rsidRPr="006D769F">
        <w:rPr>
          <w:noProof/>
        </w:rPr>
        <w:t>2016)</w:t>
      </w:r>
      <w:r>
        <w:fldChar w:fldCharType="end"/>
      </w:r>
      <w:r>
        <w:t>.</w:t>
      </w:r>
    </w:p>
    <w:p w14:paraId="050B85DB" w14:textId="77777777" w:rsidR="00B95283" w:rsidRPr="00B95283" w:rsidRDefault="00B95283" w:rsidP="00B95283">
      <w:pPr>
        <w:rPr>
          <w:rFonts w:ascii="Times New Roman" w:hAnsi="Times New Roman" w:cs="Times New Roman"/>
          <w:sz w:val="24"/>
          <w:szCs w:val="24"/>
        </w:rPr>
      </w:pPr>
    </w:p>
    <w:p w14:paraId="3899C1DC" w14:textId="77777777" w:rsidR="002E467B" w:rsidRDefault="002E467B" w:rsidP="00436224">
      <w:pPr>
        <w:rPr>
          <w:rFonts w:ascii="Times New Roman" w:hAnsi="Times New Roman" w:cs="Times New Roman"/>
          <w:b/>
          <w:sz w:val="24"/>
          <w:szCs w:val="24"/>
        </w:rPr>
      </w:pPr>
      <w:r>
        <w:rPr>
          <w:rFonts w:ascii="Times New Roman" w:hAnsi="Times New Roman" w:cs="Times New Roman"/>
          <w:b/>
          <w:sz w:val="24"/>
          <w:szCs w:val="24"/>
        </w:rPr>
        <w:t>RESULTADOS</w:t>
      </w:r>
    </w:p>
    <w:p w14:paraId="7DAED7D4" w14:textId="2F77692B" w:rsidR="002E467B" w:rsidRDefault="005053E1" w:rsidP="002E467B">
      <w:pPr>
        <w:rPr>
          <w:rFonts w:ascii="Times New Roman" w:hAnsi="Times New Roman" w:cs="Times New Roman"/>
          <w:sz w:val="24"/>
          <w:szCs w:val="24"/>
        </w:rPr>
      </w:pPr>
      <w:r>
        <w:rPr>
          <w:rFonts w:ascii="Times New Roman" w:hAnsi="Times New Roman" w:cs="Times New Roman"/>
          <w:sz w:val="24"/>
          <w:szCs w:val="24"/>
        </w:rPr>
        <w:t>O levantamento de dados, através das entrevistas semiestruturadas tiverem início em setembro de 2019, até o momento foram entrevistas 10% das empresas que se enquadram no universo da pesquisa: construtoras de médio e grande porte que atuam na Região Metropolitana do Recife. (RMR).</w:t>
      </w:r>
    </w:p>
    <w:p w14:paraId="130A71E3" w14:textId="7FFD0DC9" w:rsidR="00F92A2D" w:rsidRDefault="00F92A2D" w:rsidP="002E467B">
      <w:pPr>
        <w:rPr>
          <w:rFonts w:ascii="Times New Roman" w:hAnsi="Times New Roman" w:cs="Times New Roman"/>
          <w:sz w:val="24"/>
          <w:szCs w:val="24"/>
        </w:rPr>
      </w:pPr>
      <w:r>
        <w:rPr>
          <w:rFonts w:ascii="Times New Roman" w:hAnsi="Times New Roman" w:cs="Times New Roman"/>
          <w:sz w:val="24"/>
          <w:szCs w:val="24"/>
        </w:rPr>
        <w:t>Dentre as 96 empresas associadas à ADEMI-PE, 28% não se ocupam com construção de edifícios (Figura 2), além do mais, das 69 empresas construtoras de edifícios, 47 (68%) possuem, atualmente, menos que 100 colaboradores. Sendo assim, o universo da pesquisa é definido pelas 22 empresas restantes (Figura 3).</w:t>
      </w:r>
    </w:p>
    <w:p w14:paraId="5482033F" w14:textId="77777777" w:rsidR="00F92A2D" w:rsidRDefault="00F92A2D" w:rsidP="002E467B">
      <w:pPr>
        <w:rPr>
          <w:rFonts w:ascii="Times New Roman" w:hAnsi="Times New Roman" w:cs="Times New Roman"/>
          <w:sz w:val="24"/>
          <w:szCs w:val="24"/>
        </w:rPr>
      </w:pPr>
    </w:p>
    <w:p w14:paraId="00CF84C2" w14:textId="1CA18448" w:rsidR="00F92A2D" w:rsidRDefault="00F92A2D" w:rsidP="00F92A2D">
      <w:pPr>
        <w:pStyle w:val="Figura"/>
      </w:pPr>
      <w:r>
        <w:t>Figura 2 - Ocupação das empresas associadas à ADEMI-PE.</w:t>
      </w:r>
    </w:p>
    <w:p w14:paraId="31B24DE4" w14:textId="7B5C729A" w:rsidR="005053E1" w:rsidRDefault="00F92A2D" w:rsidP="000924EB">
      <w:pPr>
        <w:jc w:val="center"/>
        <w:rPr>
          <w:rFonts w:ascii="Times New Roman" w:hAnsi="Times New Roman" w:cs="Times New Roman"/>
          <w:sz w:val="24"/>
          <w:szCs w:val="24"/>
        </w:rPr>
      </w:pPr>
      <w:r>
        <w:rPr>
          <w:noProof/>
          <w:lang w:eastAsia="pt-BR"/>
        </w:rPr>
        <w:lastRenderedPageBreak/>
        <w:drawing>
          <wp:inline distT="0" distB="0" distL="0" distR="0" wp14:anchorId="371313A6" wp14:editId="518326E1">
            <wp:extent cx="4152900" cy="256222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A583D8" w14:textId="4DC53299" w:rsidR="00F92A2D" w:rsidRPr="007D0059" w:rsidRDefault="00F92A2D" w:rsidP="002E467B">
      <w:pPr>
        <w:rPr>
          <w:rFonts w:ascii="Times New Roman" w:hAnsi="Times New Roman" w:cs="Times New Roman"/>
        </w:rPr>
      </w:pPr>
      <w:r w:rsidRPr="007D0059">
        <w:rPr>
          <w:rFonts w:ascii="Times New Roman" w:hAnsi="Times New Roman" w:cs="Times New Roman"/>
        </w:rPr>
        <w:t>Fonte: Autor (2019).</w:t>
      </w:r>
    </w:p>
    <w:p w14:paraId="6961A47F" w14:textId="64820A5D" w:rsidR="00F92A2D" w:rsidRPr="007D0059" w:rsidRDefault="00F92A2D" w:rsidP="00F92A2D">
      <w:pPr>
        <w:pStyle w:val="Figura"/>
        <w:rPr>
          <w:szCs w:val="22"/>
        </w:rPr>
      </w:pPr>
      <w:r w:rsidRPr="007D0059">
        <w:rPr>
          <w:szCs w:val="22"/>
        </w:rPr>
        <w:t>Figura 3 – Porte das construtoras associadas à ADEMI-PE, de acordo com quantidade de colaboradores.</w:t>
      </w:r>
    </w:p>
    <w:p w14:paraId="3EEAE8B1" w14:textId="6A9E37B7" w:rsidR="00F92A2D" w:rsidRDefault="00F92A2D" w:rsidP="000924EB">
      <w:pPr>
        <w:jc w:val="center"/>
        <w:rPr>
          <w:rFonts w:ascii="Times New Roman" w:hAnsi="Times New Roman" w:cs="Times New Roman"/>
          <w:sz w:val="24"/>
          <w:szCs w:val="24"/>
        </w:rPr>
      </w:pPr>
      <w:r>
        <w:rPr>
          <w:noProof/>
          <w:lang w:eastAsia="pt-BR"/>
        </w:rPr>
        <w:drawing>
          <wp:inline distT="0" distB="0" distL="0" distR="0" wp14:anchorId="1B3865ED" wp14:editId="01C2D468">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1A489D" w14:textId="5C606BCD" w:rsidR="007D0059" w:rsidRDefault="007D0059" w:rsidP="007D0059">
      <w:pPr>
        <w:rPr>
          <w:rFonts w:ascii="Times New Roman" w:hAnsi="Times New Roman" w:cs="Times New Roman"/>
          <w:szCs w:val="24"/>
        </w:rPr>
      </w:pPr>
      <w:r w:rsidRPr="007D0059">
        <w:rPr>
          <w:rFonts w:ascii="Times New Roman" w:hAnsi="Times New Roman" w:cs="Times New Roman"/>
          <w:szCs w:val="24"/>
        </w:rPr>
        <w:t>Fonte: Autor (2019).</w:t>
      </w:r>
    </w:p>
    <w:p w14:paraId="7A147D39" w14:textId="77777777" w:rsidR="007D0059" w:rsidRPr="007D0059" w:rsidRDefault="007D0059" w:rsidP="007D0059">
      <w:pPr>
        <w:rPr>
          <w:rFonts w:ascii="Times New Roman" w:hAnsi="Times New Roman" w:cs="Times New Roman"/>
          <w:szCs w:val="24"/>
        </w:rPr>
      </w:pPr>
    </w:p>
    <w:p w14:paraId="3E3493A8" w14:textId="77777777" w:rsidR="007D0059" w:rsidRDefault="007D0059" w:rsidP="007D0059">
      <w:pPr>
        <w:rPr>
          <w:rFonts w:ascii="Times New Roman" w:hAnsi="Times New Roman" w:cs="Times New Roman"/>
          <w:sz w:val="24"/>
          <w:szCs w:val="24"/>
        </w:rPr>
      </w:pPr>
      <w:r>
        <w:rPr>
          <w:rFonts w:ascii="Times New Roman" w:hAnsi="Times New Roman" w:cs="Times New Roman"/>
          <w:sz w:val="24"/>
          <w:szCs w:val="24"/>
        </w:rPr>
        <w:t>Os entrevistados</w:t>
      </w:r>
      <w:r w:rsidRPr="007D0059">
        <w:rPr>
          <w:rFonts w:ascii="Times New Roman" w:hAnsi="Times New Roman" w:cs="Times New Roman"/>
          <w:sz w:val="24"/>
          <w:szCs w:val="24"/>
        </w:rPr>
        <w:t xml:space="preserve"> responsáve</w:t>
      </w:r>
      <w:r>
        <w:rPr>
          <w:rFonts w:ascii="Times New Roman" w:hAnsi="Times New Roman" w:cs="Times New Roman"/>
          <w:sz w:val="24"/>
          <w:szCs w:val="24"/>
        </w:rPr>
        <w:t>is</w:t>
      </w:r>
      <w:r w:rsidRPr="007D0059">
        <w:rPr>
          <w:rFonts w:ascii="Times New Roman" w:hAnsi="Times New Roman" w:cs="Times New Roman"/>
          <w:sz w:val="24"/>
          <w:szCs w:val="24"/>
        </w:rPr>
        <w:t xml:space="preserve"> por disponibilizar</w:t>
      </w:r>
      <w:r>
        <w:rPr>
          <w:rFonts w:ascii="Times New Roman" w:hAnsi="Times New Roman" w:cs="Times New Roman"/>
          <w:sz w:val="24"/>
          <w:szCs w:val="24"/>
        </w:rPr>
        <w:t>em</w:t>
      </w:r>
      <w:r w:rsidRPr="007D0059">
        <w:rPr>
          <w:rFonts w:ascii="Times New Roman" w:hAnsi="Times New Roman" w:cs="Times New Roman"/>
          <w:sz w:val="24"/>
          <w:szCs w:val="24"/>
        </w:rPr>
        <w:t xml:space="preserve"> as informações </w:t>
      </w:r>
      <w:r>
        <w:rPr>
          <w:rFonts w:ascii="Times New Roman" w:hAnsi="Times New Roman" w:cs="Times New Roman"/>
          <w:sz w:val="24"/>
          <w:szCs w:val="24"/>
        </w:rPr>
        <w:t>foram</w:t>
      </w:r>
      <w:r w:rsidRPr="007D0059">
        <w:rPr>
          <w:rFonts w:ascii="Times New Roman" w:hAnsi="Times New Roman" w:cs="Times New Roman"/>
          <w:sz w:val="24"/>
          <w:szCs w:val="24"/>
        </w:rPr>
        <w:t xml:space="preserve"> </w:t>
      </w:r>
      <w:r>
        <w:rPr>
          <w:rFonts w:ascii="Times New Roman" w:hAnsi="Times New Roman" w:cs="Times New Roman"/>
          <w:sz w:val="24"/>
          <w:szCs w:val="24"/>
        </w:rPr>
        <w:t>gestores que tivessem amplo conhecimento do sistema de gestão da empresa</w:t>
      </w:r>
      <w:r w:rsidRPr="007D0059">
        <w:rPr>
          <w:rFonts w:ascii="Times New Roman" w:hAnsi="Times New Roman" w:cs="Times New Roman"/>
          <w:sz w:val="24"/>
          <w:szCs w:val="24"/>
        </w:rPr>
        <w:t>,</w:t>
      </w:r>
      <w:r>
        <w:rPr>
          <w:rFonts w:ascii="Times New Roman" w:hAnsi="Times New Roman" w:cs="Times New Roman"/>
          <w:sz w:val="24"/>
          <w:szCs w:val="24"/>
        </w:rPr>
        <w:t xml:space="preserve"> de preferência o</w:t>
      </w:r>
      <w:r w:rsidRPr="007D0059">
        <w:rPr>
          <w:rFonts w:ascii="Times New Roman" w:hAnsi="Times New Roman" w:cs="Times New Roman"/>
          <w:sz w:val="24"/>
          <w:szCs w:val="24"/>
        </w:rPr>
        <w:t xml:space="preserve"> responsável pelo setor de Sistema de Gestão Integrada, que atua</w:t>
      </w:r>
      <w:r>
        <w:rPr>
          <w:rFonts w:ascii="Times New Roman" w:hAnsi="Times New Roman" w:cs="Times New Roman"/>
          <w:sz w:val="24"/>
          <w:szCs w:val="24"/>
        </w:rPr>
        <w:t>ssem</w:t>
      </w:r>
      <w:r w:rsidRPr="007D0059">
        <w:rPr>
          <w:rFonts w:ascii="Times New Roman" w:hAnsi="Times New Roman" w:cs="Times New Roman"/>
          <w:sz w:val="24"/>
          <w:szCs w:val="24"/>
        </w:rPr>
        <w:t xml:space="preserve"> na empresa há </w:t>
      </w:r>
      <w:r>
        <w:rPr>
          <w:rFonts w:ascii="Times New Roman" w:hAnsi="Times New Roman" w:cs="Times New Roman"/>
          <w:sz w:val="24"/>
          <w:szCs w:val="24"/>
        </w:rPr>
        <w:t>pelo menos 5</w:t>
      </w:r>
      <w:r w:rsidRPr="007D0059">
        <w:rPr>
          <w:rFonts w:ascii="Times New Roman" w:hAnsi="Times New Roman" w:cs="Times New Roman"/>
          <w:sz w:val="24"/>
          <w:szCs w:val="24"/>
        </w:rPr>
        <w:t xml:space="preserve"> anos, </w:t>
      </w:r>
      <w:r>
        <w:rPr>
          <w:rFonts w:ascii="Times New Roman" w:hAnsi="Times New Roman" w:cs="Times New Roman"/>
          <w:sz w:val="24"/>
          <w:szCs w:val="24"/>
        </w:rPr>
        <w:t>de modo que já estivesse inserido e adaptado à cultura da empresa</w:t>
      </w:r>
      <w:r w:rsidRPr="007D0059">
        <w:rPr>
          <w:rFonts w:ascii="Times New Roman" w:hAnsi="Times New Roman" w:cs="Times New Roman"/>
          <w:sz w:val="24"/>
          <w:szCs w:val="24"/>
        </w:rPr>
        <w:t>.</w:t>
      </w:r>
    </w:p>
    <w:p w14:paraId="1558E3BF" w14:textId="4825A3CB" w:rsidR="007D0059" w:rsidRPr="007D0059" w:rsidRDefault="007D0059" w:rsidP="007D0059">
      <w:pPr>
        <w:rPr>
          <w:rFonts w:ascii="Times New Roman" w:hAnsi="Times New Roman" w:cs="Times New Roman"/>
          <w:sz w:val="24"/>
          <w:szCs w:val="24"/>
        </w:rPr>
      </w:pPr>
      <w:r>
        <w:rPr>
          <w:rFonts w:ascii="Times New Roman" w:hAnsi="Times New Roman" w:cs="Times New Roman"/>
          <w:sz w:val="24"/>
          <w:szCs w:val="24"/>
        </w:rPr>
        <w:t>Inicialmente</w:t>
      </w:r>
      <w:r w:rsidRPr="007D0059">
        <w:rPr>
          <w:rFonts w:ascii="Times New Roman" w:hAnsi="Times New Roman" w:cs="Times New Roman"/>
          <w:sz w:val="24"/>
          <w:szCs w:val="24"/>
        </w:rPr>
        <w:t xml:space="preserve">, foram realizadas algumas perguntas para verificar o conhecimento prévio do candidato e como a empresa enxerga a sustentabilidade, antes de apresentar os </w:t>
      </w:r>
      <w:r w:rsidRPr="007D0059">
        <w:rPr>
          <w:rFonts w:ascii="Times New Roman" w:hAnsi="Times New Roman" w:cs="Times New Roman"/>
          <w:sz w:val="24"/>
          <w:szCs w:val="24"/>
        </w:rPr>
        <w:lastRenderedPageBreak/>
        <w:t>indicadores selecionados. Verificou-se uma grande limitação sobre a abrangência dos aspectos sustentáveis, onde grande parte dos itens citados, estão relacionados, principalmente, ao aspecto ambiental.</w:t>
      </w:r>
    </w:p>
    <w:p w14:paraId="01AFFB69" w14:textId="43A36992" w:rsidR="007D0059" w:rsidRPr="007D0059" w:rsidRDefault="007D0059" w:rsidP="007D0059">
      <w:pPr>
        <w:rPr>
          <w:rFonts w:ascii="Times New Roman" w:hAnsi="Times New Roman" w:cs="Times New Roman"/>
          <w:sz w:val="24"/>
          <w:szCs w:val="24"/>
        </w:rPr>
      </w:pPr>
      <w:r w:rsidRPr="007D0059">
        <w:rPr>
          <w:rFonts w:ascii="Times New Roman" w:hAnsi="Times New Roman" w:cs="Times New Roman"/>
          <w:sz w:val="24"/>
          <w:szCs w:val="24"/>
        </w:rPr>
        <w:t>A</w:t>
      </w:r>
      <w:r>
        <w:rPr>
          <w:rFonts w:ascii="Times New Roman" w:hAnsi="Times New Roman" w:cs="Times New Roman"/>
          <w:sz w:val="24"/>
          <w:szCs w:val="24"/>
        </w:rPr>
        <w:t>s definições</w:t>
      </w:r>
      <w:r w:rsidRPr="007D0059">
        <w:rPr>
          <w:rFonts w:ascii="Times New Roman" w:hAnsi="Times New Roman" w:cs="Times New Roman"/>
          <w:sz w:val="24"/>
          <w:szCs w:val="24"/>
        </w:rPr>
        <w:t xml:space="preserve"> de s</w:t>
      </w:r>
      <w:r>
        <w:rPr>
          <w:rFonts w:ascii="Times New Roman" w:hAnsi="Times New Roman" w:cs="Times New Roman"/>
          <w:sz w:val="24"/>
          <w:szCs w:val="24"/>
        </w:rPr>
        <w:t>ustentabilidade apresentada pelos entrevistados, em sua maior parte,</w:t>
      </w:r>
      <w:r w:rsidRPr="007D0059">
        <w:rPr>
          <w:rFonts w:ascii="Times New Roman" w:hAnsi="Times New Roman" w:cs="Times New Roman"/>
          <w:sz w:val="24"/>
          <w:szCs w:val="24"/>
        </w:rPr>
        <w:t xml:space="preserve"> se assemelha</w:t>
      </w:r>
      <w:r>
        <w:rPr>
          <w:rFonts w:ascii="Times New Roman" w:hAnsi="Times New Roman" w:cs="Times New Roman"/>
          <w:sz w:val="24"/>
          <w:szCs w:val="24"/>
        </w:rPr>
        <w:t>ram</w:t>
      </w:r>
      <w:r w:rsidRPr="007D0059">
        <w:rPr>
          <w:rFonts w:ascii="Times New Roman" w:hAnsi="Times New Roman" w:cs="Times New Roman"/>
          <w:sz w:val="24"/>
          <w:szCs w:val="24"/>
        </w:rPr>
        <w:t xml:space="preserve"> bastante com aquela apresentada no Relatório de Brundtland, sobre utilização dos recursos hoje, pensando no amanhã. No entanto, </w:t>
      </w:r>
      <w:r>
        <w:rPr>
          <w:rFonts w:ascii="Times New Roman" w:hAnsi="Times New Roman" w:cs="Times New Roman"/>
          <w:sz w:val="24"/>
          <w:szCs w:val="24"/>
        </w:rPr>
        <w:t xml:space="preserve">os mesmos apresentaram dificuldade em inserir </w:t>
      </w:r>
      <w:r w:rsidRPr="007D0059">
        <w:rPr>
          <w:rFonts w:ascii="Times New Roman" w:hAnsi="Times New Roman" w:cs="Times New Roman"/>
          <w:sz w:val="24"/>
          <w:szCs w:val="24"/>
        </w:rPr>
        <w:t>o aspecto social se enca</w:t>
      </w:r>
      <w:r>
        <w:rPr>
          <w:rFonts w:ascii="Times New Roman" w:hAnsi="Times New Roman" w:cs="Times New Roman"/>
          <w:sz w:val="24"/>
          <w:szCs w:val="24"/>
        </w:rPr>
        <w:t>ixa nessa definição.</w:t>
      </w:r>
    </w:p>
    <w:p w14:paraId="2EC1EA38" w14:textId="0AF2A3DC" w:rsidR="007D0059" w:rsidRPr="007D0059" w:rsidRDefault="007D0059" w:rsidP="007D0059">
      <w:pPr>
        <w:rPr>
          <w:rFonts w:ascii="Times New Roman" w:hAnsi="Times New Roman" w:cs="Times New Roman"/>
          <w:sz w:val="24"/>
          <w:szCs w:val="24"/>
        </w:rPr>
      </w:pPr>
      <w:r w:rsidRPr="007D0059">
        <w:rPr>
          <w:rFonts w:ascii="Times New Roman" w:hAnsi="Times New Roman" w:cs="Times New Roman"/>
          <w:sz w:val="24"/>
          <w:szCs w:val="24"/>
        </w:rPr>
        <w:t xml:space="preserve">Antes de apresentar todos os tópicos abrangidos pela sustentabilidade social, </w:t>
      </w:r>
      <w:r>
        <w:rPr>
          <w:rFonts w:ascii="Times New Roman" w:hAnsi="Times New Roman" w:cs="Times New Roman"/>
          <w:sz w:val="24"/>
          <w:szCs w:val="24"/>
        </w:rPr>
        <w:t>os entrevistados variaram quanto a quais indicadores esperavam ser avaliados.</w:t>
      </w:r>
      <w:r w:rsidRPr="007D0059">
        <w:rPr>
          <w:rFonts w:ascii="Times New Roman" w:hAnsi="Times New Roman" w:cs="Times New Roman"/>
          <w:sz w:val="24"/>
          <w:szCs w:val="24"/>
        </w:rPr>
        <w:t xml:space="preserve"> </w:t>
      </w:r>
      <w:r>
        <w:rPr>
          <w:rFonts w:ascii="Times New Roman" w:hAnsi="Times New Roman" w:cs="Times New Roman"/>
          <w:sz w:val="24"/>
          <w:szCs w:val="24"/>
        </w:rPr>
        <w:t>A</w:t>
      </w:r>
      <w:r w:rsidR="00CE5298">
        <w:rPr>
          <w:rFonts w:ascii="Times New Roman" w:hAnsi="Times New Roman" w:cs="Times New Roman"/>
          <w:sz w:val="24"/>
          <w:szCs w:val="24"/>
        </w:rPr>
        <w:t>lguns ainda conseguiram ligar</w:t>
      </w:r>
      <w:r w:rsidRPr="007D0059">
        <w:rPr>
          <w:rFonts w:ascii="Times New Roman" w:hAnsi="Times New Roman" w:cs="Times New Roman"/>
          <w:sz w:val="24"/>
          <w:szCs w:val="24"/>
        </w:rPr>
        <w:t xml:space="preserve"> a consideração dos aspectos</w:t>
      </w:r>
      <w:r w:rsidR="00CE5298">
        <w:rPr>
          <w:rFonts w:ascii="Times New Roman" w:hAnsi="Times New Roman" w:cs="Times New Roman"/>
          <w:sz w:val="24"/>
          <w:szCs w:val="24"/>
        </w:rPr>
        <w:t xml:space="preserve"> sociais</w:t>
      </w:r>
      <w:r w:rsidRPr="007D0059">
        <w:rPr>
          <w:rFonts w:ascii="Times New Roman" w:hAnsi="Times New Roman" w:cs="Times New Roman"/>
          <w:sz w:val="24"/>
          <w:szCs w:val="24"/>
        </w:rPr>
        <w:t xml:space="preserve"> ao cumprimento das leis e respeito aos direitos dos trabalhadores, o que abrange apenas o tópico de emprego. </w:t>
      </w:r>
      <w:r w:rsidR="00CE5298">
        <w:rPr>
          <w:rFonts w:ascii="Times New Roman" w:hAnsi="Times New Roman" w:cs="Times New Roman"/>
          <w:sz w:val="24"/>
          <w:szCs w:val="24"/>
        </w:rPr>
        <w:t>Enquanto outros, não tinham ideia de quais seriam os indicadores.</w:t>
      </w:r>
    </w:p>
    <w:p w14:paraId="0A2574BF" w14:textId="1984E82B" w:rsidR="007D0059" w:rsidRPr="007D0059" w:rsidRDefault="007D0059" w:rsidP="007D0059">
      <w:pPr>
        <w:rPr>
          <w:rFonts w:ascii="Times New Roman" w:hAnsi="Times New Roman" w:cs="Times New Roman"/>
          <w:sz w:val="24"/>
          <w:szCs w:val="24"/>
        </w:rPr>
      </w:pPr>
      <w:r w:rsidRPr="007D0059">
        <w:rPr>
          <w:rFonts w:ascii="Times New Roman" w:hAnsi="Times New Roman" w:cs="Times New Roman"/>
          <w:sz w:val="24"/>
          <w:szCs w:val="24"/>
        </w:rPr>
        <w:t>Quando perguntado quais indicadores sociais eram de seu conhecimento, indicadores relacionados ao tópico emprego e treinamento e educação foram citados, mais uma vez abrangendo apenas os funcionários da empresa.</w:t>
      </w:r>
    </w:p>
    <w:p w14:paraId="59FC8A1E" w14:textId="77777777" w:rsidR="007D0059" w:rsidRPr="007D0059" w:rsidRDefault="007D0059" w:rsidP="007D0059">
      <w:pPr>
        <w:rPr>
          <w:rFonts w:ascii="Times New Roman" w:hAnsi="Times New Roman" w:cs="Times New Roman"/>
          <w:sz w:val="24"/>
          <w:szCs w:val="24"/>
        </w:rPr>
      </w:pPr>
      <w:r w:rsidRPr="007D0059">
        <w:rPr>
          <w:rFonts w:ascii="Times New Roman" w:hAnsi="Times New Roman" w:cs="Times New Roman"/>
          <w:sz w:val="24"/>
          <w:szCs w:val="24"/>
        </w:rPr>
        <w:t>No entanto, ao questionar quais ações sustentáveis a empresa já desenvolve atualmente, além de citar as ações sustentáveis no aspecto ambiental, como redução de resíduos por inovações nos processos e tecnologias racionalizadas (argamassa estabilizada, bloco cerâmico normatizado, central de trinchos), ações abrangendo às comunidades locais foram consideradas, como a disponibilização de uma parte do canteiro de obra para uso público.</w:t>
      </w:r>
    </w:p>
    <w:p w14:paraId="57B8E27C" w14:textId="0D6E2ED2" w:rsidR="00844761" w:rsidRDefault="007D0059" w:rsidP="00844761">
      <w:pPr>
        <w:rPr>
          <w:rFonts w:ascii="Times New Roman" w:hAnsi="Times New Roman" w:cs="Times New Roman"/>
          <w:sz w:val="24"/>
          <w:szCs w:val="24"/>
        </w:rPr>
      </w:pPr>
      <w:r w:rsidRPr="007D0059">
        <w:rPr>
          <w:rFonts w:ascii="Times New Roman" w:hAnsi="Times New Roman" w:cs="Times New Roman"/>
          <w:sz w:val="24"/>
          <w:szCs w:val="24"/>
        </w:rPr>
        <w:t>Posteriormente, foram apresentados os 42 indicadores selecionados</w:t>
      </w:r>
      <w:r w:rsidR="00CE5298">
        <w:rPr>
          <w:rFonts w:ascii="Times New Roman" w:hAnsi="Times New Roman" w:cs="Times New Roman"/>
          <w:sz w:val="24"/>
          <w:szCs w:val="24"/>
        </w:rPr>
        <w:t xml:space="preserve"> e coletados os dados de percepção de valor.</w:t>
      </w:r>
      <w:r w:rsidR="00844761">
        <w:rPr>
          <w:rFonts w:ascii="Times New Roman" w:hAnsi="Times New Roman" w:cs="Times New Roman"/>
          <w:sz w:val="24"/>
          <w:szCs w:val="24"/>
        </w:rPr>
        <w:t xml:space="preserve"> </w:t>
      </w:r>
      <w:r w:rsidRPr="007D0059">
        <w:rPr>
          <w:rFonts w:ascii="Times New Roman" w:hAnsi="Times New Roman" w:cs="Times New Roman"/>
          <w:sz w:val="24"/>
          <w:szCs w:val="24"/>
        </w:rPr>
        <w:t xml:space="preserve">Uma maneira de observar a priorização dos tópicos é através da </w:t>
      </w:r>
      <w:r w:rsidRPr="007D0059">
        <w:rPr>
          <w:rFonts w:ascii="Times New Roman" w:hAnsi="Times New Roman" w:cs="Times New Roman"/>
          <w:sz w:val="24"/>
          <w:szCs w:val="24"/>
        </w:rPr>
        <w:fldChar w:fldCharType="begin"/>
      </w:r>
      <w:r w:rsidRPr="007D0059">
        <w:rPr>
          <w:rFonts w:ascii="Times New Roman" w:hAnsi="Times New Roman" w:cs="Times New Roman"/>
          <w:sz w:val="24"/>
          <w:szCs w:val="24"/>
        </w:rPr>
        <w:instrText xml:space="preserve"> REF _Ref14189346 \h  \* MERGEFORMAT </w:instrText>
      </w:r>
      <w:r w:rsidRPr="007D0059">
        <w:rPr>
          <w:rFonts w:ascii="Times New Roman" w:hAnsi="Times New Roman" w:cs="Times New Roman"/>
          <w:sz w:val="24"/>
          <w:szCs w:val="24"/>
        </w:rPr>
      </w:r>
      <w:r w:rsidRPr="007D0059">
        <w:rPr>
          <w:rFonts w:ascii="Times New Roman" w:hAnsi="Times New Roman" w:cs="Times New Roman"/>
          <w:sz w:val="24"/>
          <w:szCs w:val="24"/>
        </w:rPr>
        <w:fldChar w:fldCharType="separate"/>
      </w:r>
      <w:r w:rsidRPr="007D0059">
        <w:rPr>
          <w:rFonts w:ascii="Times New Roman" w:hAnsi="Times New Roman" w:cs="Times New Roman"/>
          <w:sz w:val="24"/>
          <w:szCs w:val="24"/>
        </w:rPr>
        <w:t xml:space="preserve">Figura </w:t>
      </w:r>
      <w:r w:rsidRPr="007D0059">
        <w:rPr>
          <w:rFonts w:ascii="Times New Roman" w:hAnsi="Times New Roman" w:cs="Times New Roman"/>
          <w:noProof/>
          <w:sz w:val="24"/>
          <w:szCs w:val="24"/>
        </w:rPr>
        <w:t>4</w:t>
      </w:r>
      <w:r w:rsidRPr="007D0059">
        <w:rPr>
          <w:rFonts w:ascii="Times New Roman" w:hAnsi="Times New Roman" w:cs="Times New Roman"/>
          <w:sz w:val="24"/>
          <w:szCs w:val="24"/>
        </w:rPr>
        <w:t>.</w:t>
      </w:r>
      <w:r w:rsidRPr="007D0059">
        <w:rPr>
          <w:rFonts w:ascii="Times New Roman" w:hAnsi="Times New Roman" w:cs="Times New Roman"/>
          <w:noProof/>
          <w:sz w:val="24"/>
          <w:szCs w:val="24"/>
        </w:rPr>
        <w:t>2</w:t>
      </w:r>
      <w:r w:rsidRPr="007D0059">
        <w:rPr>
          <w:rFonts w:ascii="Times New Roman" w:hAnsi="Times New Roman" w:cs="Times New Roman"/>
          <w:sz w:val="24"/>
          <w:szCs w:val="24"/>
        </w:rPr>
        <w:fldChar w:fldCharType="end"/>
      </w:r>
      <w:r w:rsidRPr="007D0059">
        <w:rPr>
          <w:rFonts w:ascii="Times New Roman" w:hAnsi="Times New Roman" w:cs="Times New Roman"/>
          <w:sz w:val="24"/>
          <w:szCs w:val="24"/>
        </w:rPr>
        <w:t xml:space="preserve">, onde observa-se uma linha com nível importância e outra com grau de influência nas decisões de cada um dos indicadores. De maneira geral, observa-se que a linha da influência, quando não está coincidente, está sempre abaixo da linha que representa o nível de importância. Dessa maneira, pode-se observar que apesar da conscientização da importância dos indicadores de sustentabilidade social, eles ainda não são levados em consideração, de acordo com a devida importância.  </w:t>
      </w:r>
      <w:bookmarkStart w:id="4" w:name="_Ref14189346"/>
      <w:bookmarkStart w:id="5" w:name="_Toc15932039"/>
    </w:p>
    <w:p w14:paraId="71BFB2EC" w14:textId="73558E8F" w:rsidR="00792348" w:rsidRDefault="00792348" w:rsidP="00844761">
      <w:pPr>
        <w:rPr>
          <w:rFonts w:ascii="Times New Roman" w:hAnsi="Times New Roman" w:cs="Times New Roman"/>
          <w:sz w:val="24"/>
          <w:szCs w:val="24"/>
        </w:rPr>
      </w:pPr>
    </w:p>
    <w:p w14:paraId="4C63A09C" w14:textId="25154EE6" w:rsidR="00792348" w:rsidRDefault="00792348" w:rsidP="00844761">
      <w:pPr>
        <w:rPr>
          <w:rFonts w:ascii="Times New Roman" w:hAnsi="Times New Roman" w:cs="Times New Roman"/>
          <w:sz w:val="24"/>
          <w:szCs w:val="24"/>
        </w:rPr>
      </w:pPr>
    </w:p>
    <w:p w14:paraId="7E7D11EE" w14:textId="266C01F3" w:rsidR="007D0059" w:rsidRDefault="007D0059" w:rsidP="00844761">
      <w:pPr>
        <w:rPr>
          <w:rFonts w:ascii="Times New Roman" w:hAnsi="Times New Roman" w:cs="Times New Roman"/>
          <w:szCs w:val="24"/>
        </w:rPr>
      </w:pPr>
      <w:r w:rsidRPr="00844761">
        <w:rPr>
          <w:rFonts w:ascii="Times New Roman" w:hAnsi="Times New Roman" w:cs="Times New Roman"/>
          <w:szCs w:val="24"/>
        </w:rPr>
        <w:lastRenderedPageBreak/>
        <w:t xml:space="preserve">Figura </w:t>
      </w:r>
      <w:r w:rsidRPr="00844761">
        <w:rPr>
          <w:rFonts w:ascii="Times New Roman" w:hAnsi="Times New Roman" w:cs="Times New Roman"/>
          <w:szCs w:val="24"/>
        </w:rPr>
        <w:fldChar w:fldCharType="begin"/>
      </w:r>
      <w:r w:rsidRPr="00844761">
        <w:rPr>
          <w:rFonts w:ascii="Times New Roman" w:hAnsi="Times New Roman" w:cs="Times New Roman"/>
          <w:szCs w:val="24"/>
        </w:rPr>
        <w:instrText xml:space="preserve"> STYLEREF 1 \s </w:instrText>
      </w:r>
      <w:r w:rsidRPr="00844761">
        <w:rPr>
          <w:rFonts w:ascii="Times New Roman" w:hAnsi="Times New Roman" w:cs="Times New Roman"/>
          <w:szCs w:val="24"/>
        </w:rPr>
        <w:fldChar w:fldCharType="separate"/>
      </w:r>
      <w:r w:rsidRPr="00844761">
        <w:rPr>
          <w:rFonts w:ascii="Times New Roman" w:hAnsi="Times New Roman" w:cs="Times New Roman"/>
          <w:noProof/>
          <w:szCs w:val="24"/>
        </w:rPr>
        <w:t>4</w:t>
      </w:r>
      <w:r w:rsidRPr="00844761">
        <w:rPr>
          <w:rFonts w:ascii="Times New Roman" w:hAnsi="Times New Roman" w:cs="Times New Roman"/>
          <w:szCs w:val="24"/>
        </w:rPr>
        <w:fldChar w:fldCharType="end"/>
      </w:r>
      <w:r w:rsidRPr="00844761">
        <w:rPr>
          <w:rFonts w:ascii="Times New Roman" w:hAnsi="Times New Roman" w:cs="Times New Roman"/>
          <w:szCs w:val="24"/>
        </w:rPr>
        <w:t>.</w:t>
      </w:r>
      <w:r w:rsidRPr="00844761">
        <w:rPr>
          <w:rFonts w:ascii="Times New Roman" w:hAnsi="Times New Roman" w:cs="Times New Roman"/>
          <w:szCs w:val="24"/>
        </w:rPr>
        <w:fldChar w:fldCharType="begin"/>
      </w:r>
      <w:r w:rsidRPr="00844761">
        <w:rPr>
          <w:rFonts w:ascii="Times New Roman" w:hAnsi="Times New Roman" w:cs="Times New Roman"/>
          <w:szCs w:val="24"/>
        </w:rPr>
        <w:instrText xml:space="preserve"> SEQ Figura \* ARABIC \s 1 </w:instrText>
      </w:r>
      <w:r w:rsidRPr="00844761">
        <w:rPr>
          <w:rFonts w:ascii="Times New Roman" w:hAnsi="Times New Roman" w:cs="Times New Roman"/>
          <w:szCs w:val="24"/>
        </w:rPr>
        <w:fldChar w:fldCharType="separate"/>
      </w:r>
      <w:r w:rsidRPr="00844761">
        <w:rPr>
          <w:rFonts w:ascii="Times New Roman" w:hAnsi="Times New Roman" w:cs="Times New Roman"/>
          <w:noProof/>
          <w:szCs w:val="24"/>
        </w:rPr>
        <w:t>2</w:t>
      </w:r>
      <w:r w:rsidRPr="00844761">
        <w:rPr>
          <w:rFonts w:ascii="Times New Roman" w:hAnsi="Times New Roman" w:cs="Times New Roman"/>
          <w:szCs w:val="24"/>
        </w:rPr>
        <w:fldChar w:fldCharType="end"/>
      </w:r>
      <w:bookmarkEnd w:id="4"/>
      <w:r w:rsidRPr="00844761">
        <w:rPr>
          <w:rFonts w:ascii="Times New Roman" w:hAnsi="Times New Roman" w:cs="Times New Roman"/>
          <w:szCs w:val="24"/>
        </w:rPr>
        <w:t xml:space="preserve"> – Importância X Influência dos indicadores</w:t>
      </w:r>
      <w:bookmarkEnd w:id="5"/>
    </w:p>
    <w:p w14:paraId="18938133" w14:textId="35DBA16D" w:rsidR="005C255C" w:rsidRPr="00844761" w:rsidRDefault="005C255C" w:rsidP="00844761">
      <w:pPr>
        <w:rPr>
          <w:rFonts w:ascii="Times New Roman" w:hAnsi="Times New Roman" w:cs="Times New Roman"/>
          <w:szCs w:val="24"/>
        </w:rPr>
      </w:pPr>
      <w:r>
        <w:rPr>
          <w:rFonts w:ascii="Times New Roman" w:hAnsi="Times New Roman" w:cs="Times New Roman"/>
          <w:noProof/>
          <w:szCs w:val="24"/>
          <w:lang w:eastAsia="pt-BR"/>
        </w:rPr>
        <w:drawing>
          <wp:inline distT="0" distB="0" distL="0" distR="0" wp14:anchorId="52398B54" wp14:editId="093FE58A">
            <wp:extent cx="4924425" cy="4452544"/>
            <wp:effectExtent l="0" t="0" r="0" b="571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6177" cy="4454128"/>
                    </a:xfrm>
                    <a:prstGeom prst="rect">
                      <a:avLst/>
                    </a:prstGeom>
                    <a:noFill/>
                  </pic:spPr>
                </pic:pic>
              </a:graphicData>
            </a:graphic>
          </wp:inline>
        </w:drawing>
      </w:r>
    </w:p>
    <w:p w14:paraId="06AA8AB8" w14:textId="77777777" w:rsidR="007D0059" w:rsidRPr="007D0059" w:rsidRDefault="007D0059" w:rsidP="007D0059">
      <w:pPr>
        <w:pStyle w:val="Figura"/>
        <w:rPr>
          <w:sz w:val="24"/>
        </w:rPr>
      </w:pPr>
      <w:r w:rsidRPr="007D0059">
        <w:rPr>
          <w:sz w:val="24"/>
        </w:rPr>
        <w:t>Fonte: Autor.</w:t>
      </w:r>
    </w:p>
    <w:p w14:paraId="579871D6" w14:textId="77777777" w:rsidR="007D0059" w:rsidRPr="007D0059" w:rsidRDefault="007D0059" w:rsidP="007D0059">
      <w:pPr>
        <w:rPr>
          <w:rFonts w:ascii="Times New Roman" w:hAnsi="Times New Roman" w:cs="Times New Roman"/>
          <w:sz w:val="24"/>
          <w:szCs w:val="24"/>
        </w:rPr>
      </w:pPr>
    </w:p>
    <w:p w14:paraId="0E53F30A" w14:textId="0EFC700E" w:rsidR="007D0059" w:rsidRPr="007D0059" w:rsidRDefault="007D0059" w:rsidP="007D0059">
      <w:pPr>
        <w:rPr>
          <w:rFonts w:ascii="Times New Roman" w:hAnsi="Times New Roman" w:cs="Times New Roman"/>
          <w:sz w:val="24"/>
          <w:szCs w:val="24"/>
        </w:rPr>
      </w:pPr>
      <w:r w:rsidRPr="007D0059">
        <w:rPr>
          <w:rFonts w:ascii="Times New Roman" w:hAnsi="Times New Roman" w:cs="Times New Roman"/>
          <w:sz w:val="24"/>
          <w:szCs w:val="24"/>
        </w:rPr>
        <w:t xml:space="preserve">Observa-se, ainda, de acordo com a </w:t>
      </w:r>
      <w:r w:rsidRPr="007D0059">
        <w:rPr>
          <w:rFonts w:ascii="Times New Roman" w:hAnsi="Times New Roman" w:cs="Times New Roman"/>
          <w:sz w:val="24"/>
          <w:szCs w:val="24"/>
        </w:rPr>
        <w:fldChar w:fldCharType="begin"/>
      </w:r>
      <w:r w:rsidRPr="007D0059">
        <w:rPr>
          <w:rFonts w:ascii="Times New Roman" w:hAnsi="Times New Roman" w:cs="Times New Roman"/>
          <w:sz w:val="24"/>
          <w:szCs w:val="24"/>
        </w:rPr>
        <w:instrText xml:space="preserve"> REF _Ref14189346 \h  \* MERGEFORMAT </w:instrText>
      </w:r>
      <w:r w:rsidRPr="007D0059">
        <w:rPr>
          <w:rFonts w:ascii="Times New Roman" w:hAnsi="Times New Roman" w:cs="Times New Roman"/>
          <w:sz w:val="24"/>
          <w:szCs w:val="24"/>
        </w:rPr>
      </w:r>
      <w:r w:rsidRPr="007D0059">
        <w:rPr>
          <w:rFonts w:ascii="Times New Roman" w:hAnsi="Times New Roman" w:cs="Times New Roman"/>
          <w:sz w:val="24"/>
          <w:szCs w:val="24"/>
        </w:rPr>
        <w:fldChar w:fldCharType="separate"/>
      </w:r>
      <w:r w:rsidRPr="007D0059">
        <w:rPr>
          <w:rFonts w:ascii="Times New Roman" w:hAnsi="Times New Roman" w:cs="Times New Roman"/>
          <w:sz w:val="24"/>
          <w:szCs w:val="24"/>
        </w:rPr>
        <w:t xml:space="preserve">Figura </w:t>
      </w:r>
      <w:r w:rsidRPr="007D0059">
        <w:rPr>
          <w:rFonts w:ascii="Times New Roman" w:hAnsi="Times New Roman" w:cs="Times New Roman"/>
          <w:noProof/>
          <w:sz w:val="24"/>
          <w:szCs w:val="24"/>
        </w:rPr>
        <w:t>4</w:t>
      </w:r>
      <w:r w:rsidRPr="007D0059">
        <w:rPr>
          <w:rFonts w:ascii="Times New Roman" w:hAnsi="Times New Roman" w:cs="Times New Roman"/>
          <w:sz w:val="24"/>
          <w:szCs w:val="24"/>
        </w:rPr>
        <w:t>.</w:t>
      </w:r>
      <w:r w:rsidRPr="007D0059">
        <w:rPr>
          <w:rFonts w:ascii="Times New Roman" w:hAnsi="Times New Roman" w:cs="Times New Roman"/>
          <w:noProof/>
          <w:sz w:val="24"/>
          <w:szCs w:val="24"/>
        </w:rPr>
        <w:t>2</w:t>
      </w:r>
      <w:r w:rsidRPr="007D0059">
        <w:rPr>
          <w:rFonts w:ascii="Times New Roman" w:hAnsi="Times New Roman" w:cs="Times New Roman"/>
          <w:sz w:val="24"/>
          <w:szCs w:val="24"/>
        </w:rPr>
        <w:fldChar w:fldCharType="end"/>
      </w:r>
      <w:r w:rsidRPr="007D0059">
        <w:rPr>
          <w:rFonts w:ascii="Times New Roman" w:hAnsi="Times New Roman" w:cs="Times New Roman"/>
          <w:sz w:val="24"/>
          <w:szCs w:val="24"/>
        </w:rPr>
        <w:t>, que os únicos indicadores que foram considerados com máxima influência nas tomada de decisões estão inseridos nos tópicos de segurança e saúde ocupacional (403), seg</w:t>
      </w:r>
      <w:r w:rsidR="00844761">
        <w:rPr>
          <w:rFonts w:ascii="Times New Roman" w:hAnsi="Times New Roman" w:cs="Times New Roman"/>
          <w:sz w:val="24"/>
          <w:szCs w:val="24"/>
        </w:rPr>
        <w:t>urança e saúde do cliente (416)</w:t>
      </w:r>
      <w:r w:rsidRPr="007D0059">
        <w:rPr>
          <w:rFonts w:ascii="Times New Roman" w:hAnsi="Times New Roman" w:cs="Times New Roman"/>
          <w:sz w:val="24"/>
          <w:szCs w:val="24"/>
        </w:rPr>
        <w:t xml:space="preserve"> e conformidade socioeconômica (419).</w:t>
      </w:r>
    </w:p>
    <w:p w14:paraId="14191EF5" w14:textId="5EB4FCBC" w:rsidR="007D0059" w:rsidRDefault="007D0059" w:rsidP="007D0059">
      <w:pPr>
        <w:rPr>
          <w:rFonts w:ascii="Times New Roman" w:hAnsi="Times New Roman" w:cs="Times New Roman"/>
          <w:sz w:val="24"/>
          <w:szCs w:val="24"/>
        </w:rPr>
      </w:pPr>
      <w:r w:rsidRPr="00844761">
        <w:rPr>
          <w:rFonts w:ascii="Times New Roman" w:hAnsi="Times New Roman" w:cs="Times New Roman"/>
          <w:sz w:val="24"/>
          <w:szCs w:val="24"/>
        </w:rPr>
        <w:t>A influência desses tópicos nas tomadas de decisões está relacionada com a certificação de segurança e saúde ocupacional (OHSAS 18001), na qual a</w:t>
      </w:r>
      <w:r w:rsidR="00044436">
        <w:rPr>
          <w:rFonts w:ascii="Times New Roman" w:hAnsi="Times New Roman" w:cs="Times New Roman"/>
          <w:sz w:val="24"/>
          <w:szCs w:val="24"/>
        </w:rPr>
        <w:t>s</w:t>
      </w:r>
      <w:r w:rsidRPr="00844761">
        <w:rPr>
          <w:rFonts w:ascii="Times New Roman" w:hAnsi="Times New Roman" w:cs="Times New Roman"/>
          <w:sz w:val="24"/>
          <w:szCs w:val="24"/>
        </w:rPr>
        <w:t xml:space="preserve"> empresa</w:t>
      </w:r>
      <w:r w:rsidR="00044436">
        <w:rPr>
          <w:rFonts w:ascii="Times New Roman" w:hAnsi="Times New Roman" w:cs="Times New Roman"/>
          <w:sz w:val="24"/>
          <w:szCs w:val="24"/>
        </w:rPr>
        <w:t>s</w:t>
      </w:r>
      <w:r w:rsidRPr="00844761">
        <w:rPr>
          <w:rFonts w:ascii="Times New Roman" w:hAnsi="Times New Roman" w:cs="Times New Roman"/>
          <w:sz w:val="24"/>
          <w:szCs w:val="24"/>
        </w:rPr>
        <w:t xml:space="preserve"> </w:t>
      </w:r>
      <w:r w:rsidR="00044436">
        <w:rPr>
          <w:rFonts w:ascii="Times New Roman" w:hAnsi="Times New Roman" w:cs="Times New Roman"/>
          <w:sz w:val="24"/>
          <w:szCs w:val="24"/>
        </w:rPr>
        <w:t>são</w:t>
      </w:r>
      <w:r w:rsidRPr="00844761">
        <w:rPr>
          <w:rFonts w:ascii="Times New Roman" w:hAnsi="Times New Roman" w:cs="Times New Roman"/>
          <w:sz w:val="24"/>
          <w:szCs w:val="24"/>
        </w:rPr>
        <w:t xml:space="preserve"> certificada</w:t>
      </w:r>
      <w:r w:rsidR="00044436">
        <w:rPr>
          <w:rFonts w:ascii="Times New Roman" w:hAnsi="Times New Roman" w:cs="Times New Roman"/>
          <w:sz w:val="24"/>
          <w:szCs w:val="24"/>
        </w:rPr>
        <w:t>s</w:t>
      </w:r>
      <w:r w:rsidRPr="00844761">
        <w:rPr>
          <w:rFonts w:ascii="Times New Roman" w:hAnsi="Times New Roman" w:cs="Times New Roman"/>
          <w:sz w:val="24"/>
          <w:szCs w:val="24"/>
        </w:rPr>
        <w:t>, e com a preocupação com o cliente final, responsável pelas vendas e receita da empresa, além das penalidades financeiras levadas em consideração no tópico de conformidade socioeconômica.</w:t>
      </w:r>
    </w:p>
    <w:p w14:paraId="1E78E5A9" w14:textId="77777777" w:rsidR="005C255C" w:rsidRDefault="005C255C" w:rsidP="007D0059">
      <w:pPr>
        <w:rPr>
          <w:rFonts w:ascii="Times New Roman" w:hAnsi="Times New Roman" w:cs="Times New Roman"/>
          <w:sz w:val="24"/>
          <w:szCs w:val="24"/>
        </w:rPr>
      </w:pPr>
      <w:r>
        <w:rPr>
          <w:rFonts w:ascii="Times New Roman" w:hAnsi="Times New Roman" w:cs="Times New Roman"/>
          <w:sz w:val="24"/>
          <w:szCs w:val="24"/>
        </w:rPr>
        <w:t xml:space="preserve">No entanto, quando analisados quais dos 42 indicadores já são coletados pelas empresas de maneira igual ao proposto pelo GRI, 10 foram unanimidades nas empresas entrevistas, </w:t>
      </w:r>
      <w:r>
        <w:rPr>
          <w:rFonts w:ascii="Times New Roman" w:hAnsi="Times New Roman" w:cs="Times New Roman"/>
          <w:sz w:val="24"/>
          <w:szCs w:val="24"/>
        </w:rPr>
        <w:lastRenderedPageBreak/>
        <w:t xml:space="preserve">que se enquadram nos tópicos de segurança e saúde ocupacional (403) e comunidades locais (413) – Tabela 2. </w:t>
      </w:r>
    </w:p>
    <w:p w14:paraId="605098CE" w14:textId="329A3CC5" w:rsidR="005C255C" w:rsidRDefault="005C255C" w:rsidP="007D0059">
      <w:pPr>
        <w:rPr>
          <w:rFonts w:ascii="Times New Roman" w:hAnsi="Times New Roman" w:cs="Times New Roman"/>
          <w:sz w:val="24"/>
          <w:szCs w:val="24"/>
        </w:rPr>
      </w:pPr>
      <w:r>
        <w:rPr>
          <w:rFonts w:ascii="Times New Roman" w:hAnsi="Times New Roman" w:cs="Times New Roman"/>
          <w:sz w:val="24"/>
          <w:szCs w:val="24"/>
        </w:rPr>
        <w:t>Sendo assim, apesar de considerarem tão influentes quanto importantes, os indicadores a</w:t>
      </w:r>
      <w:r w:rsidRPr="005C255C">
        <w:rPr>
          <w:rFonts w:ascii="Times New Roman" w:hAnsi="Times New Roman" w:cs="Times New Roman"/>
          <w:sz w:val="24"/>
          <w:szCs w:val="24"/>
        </w:rPr>
        <w:t>valiação dos impactos na saúde e segurança de categorias de produtos e serviços</w:t>
      </w:r>
      <w:r>
        <w:rPr>
          <w:rFonts w:ascii="Times New Roman" w:hAnsi="Times New Roman" w:cs="Times New Roman"/>
          <w:sz w:val="24"/>
          <w:szCs w:val="24"/>
        </w:rPr>
        <w:t xml:space="preserve"> (416-1), i</w:t>
      </w:r>
      <w:r w:rsidRPr="005C255C">
        <w:rPr>
          <w:rFonts w:ascii="Times New Roman" w:hAnsi="Times New Roman" w:cs="Times New Roman"/>
          <w:sz w:val="24"/>
          <w:szCs w:val="24"/>
        </w:rPr>
        <w:t xml:space="preserve">ncidentes de não conformidade relativos a impactos na saúde e segurança de produtos e serviços </w:t>
      </w:r>
      <w:r>
        <w:rPr>
          <w:rFonts w:ascii="Times New Roman" w:hAnsi="Times New Roman" w:cs="Times New Roman"/>
          <w:sz w:val="24"/>
          <w:szCs w:val="24"/>
        </w:rPr>
        <w:t>(416-2) e n</w:t>
      </w:r>
      <w:r w:rsidRPr="005C255C">
        <w:rPr>
          <w:rFonts w:ascii="Times New Roman" w:hAnsi="Times New Roman" w:cs="Times New Roman"/>
          <w:sz w:val="24"/>
          <w:szCs w:val="24"/>
        </w:rPr>
        <w:t>ão cumprimento de leis e regulamentos na área social e econômica</w:t>
      </w:r>
      <w:r>
        <w:rPr>
          <w:rFonts w:ascii="Times New Roman" w:hAnsi="Times New Roman" w:cs="Times New Roman"/>
          <w:sz w:val="24"/>
          <w:szCs w:val="24"/>
        </w:rPr>
        <w:t xml:space="preserve"> (419-1), ainda não são controlados pelas empresas.</w:t>
      </w:r>
    </w:p>
    <w:p w14:paraId="621A0EA2" w14:textId="77777777" w:rsidR="00E3547E" w:rsidRDefault="00E3547E" w:rsidP="007D0059">
      <w:pPr>
        <w:rPr>
          <w:rFonts w:ascii="Times New Roman" w:hAnsi="Times New Roman" w:cs="Times New Roman"/>
          <w:sz w:val="24"/>
          <w:szCs w:val="24"/>
        </w:rPr>
      </w:pPr>
    </w:p>
    <w:p w14:paraId="0BCE31B7" w14:textId="1F1ED636" w:rsidR="00E3547E" w:rsidRPr="00E3547E" w:rsidRDefault="00E3547E" w:rsidP="007D0059">
      <w:pPr>
        <w:rPr>
          <w:rFonts w:ascii="Times New Roman" w:hAnsi="Times New Roman" w:cs="Times New Roman"/>
          <w:szCs w:val="24"/>
        </w:rPr>
      </w:pPr>
      <w:r w:rsidRPr="00E3547E">
        <w:rPr>
          <w:rFonts w:ascii="Times New Roman" w:hAnsi="Times New Roman" w:cs="Times New Roman"/>
          <w:szCs w:val="24"/>
        </w:rPr>
        <w:t>Tabela 2 – Indicadores já coletados pelas empresas entrevistadas.</w:t>
      </w:r>
    </w:p>
    <w:tbl>
      <w:tblPr>
        <w:tblW w:w="8642" w:type="dxa"/>
        <w:tblLayout w:type="fixed"/>
        <w:tblCellMar>
          <w:left w:w="70" w:type="dxa"/>
          <w:right w:w="70" w:type="dxa"/>
        </w:tblCellMar>
        <w:tblLook w:val="04A0" w:firstRow="1" w:lastRow="0" w:firstColumn="1" w:lastColumn="0" w:noHBand="0" w:noVBand="1"/>
      </w:tblPr>
      <w:tblGrid>
        <w:gridCol w:w="1350"/>
        <w:gridCol w:w="1055"/>
        <w:gridCol w:w="3260"/>
        <w:gridCol w:w="1560"/>
        <w:gridCol w:w="1417"/>
      </w:tblGrid>
      <w:tr w:rsidR="00FB076A" w:rsidRPr="005C255C" w14:paraId="4D981774" w14:textId="77777777" w:rsidTr="00FB076A">
        <w:trPr>
          <w:trHeight w:val="690"/>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A4C24" w14:textId="77777777" w:rsidR="005C255C" w:rsidRPr="005C255C" w:rsidRDefault="005C255C" w:rsidP="005C255C">
            <w:pPr>
              <w:spacing w:after="0" w:line="240" w:lineRule="auto"/>
              <w:jc w:val="center"/>
              <w:rPr>
                <w:rFonts w:ascii="Times New Roman" w:eastAsia="Times New Roman" w:hAnsi="Times New Roman" w:cs="Times New Roman"/>
                <w:bCs/>
                <w:color w:val="000000"/>
                <w:sz w:val="20"/>
                <w:lang w:eastAsia="pt-BR"/>
              </w:rPr>
            </w:pPr>
            <w:r w:rsidRPr="005C255C">
              <w:rPr>
                <w:rFonts w:ascii="Times New Roman" w:eastAsia="Times New Roman" w:hAnsi="Times New Roman" w:cs="Times New Roman"/>
                <w:bCs/>
                <w:color w:val="000000"/>
                <w:sz w:val="20"/>
                <w:lang w:eastAsia="pt-BR"/>
              </w:rPr>
              <w:t>TÓPICO</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7D12E" w14:textId="77777777" w:rsidR="005C255C" w:rsidRPr="005C255C" w:rsidRDefault="005C255C" w:rsidP="005C255C">
            <w:pPr>
              <w:spacing w:after="0" w:line="240" w:lineRule="auto"/>
              <w:jc w:val="center"/>
              <w:rPr>
                <w:rFonts w:ascii="Times New Roman" w:eastAsia="Times New Roman" w:hAnsi="Times New Roman" w:cs="Times New Roman"/>
                <w:bCs/>
                <w:color w:val="000000"/>
                <w:sz w:val="20"/>
                <w:lang w:eastAsia="pt-BR"/>
              </w:rPr>
            </w:pPr>
            <w:r w:rsidRPr="005C255C">
              <w:rPr>
                <w:rFonts w:ascii="Times New Roman" w:eastAsia="Times New Roman" w:hAnsi="Times New Roman" w:cs="Times New Roman"/>
                <w:bCs/>
                <w:color w:val="000000"/>
                <w:sz w:val="20"/>
                <w:lang w:eastAsia="pt-BR"/>
              </w:rPr>
              <w:t>CÓDIGO</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7A408BDA" w14:textId="77777777" w:rsidR="005C255C" w:rsidRPr="005C255C" w:rsidRDefault="005C255C" w:rsidP="005C255C">
            <w:pPr>
              <w:spacing w:after="0" w:line="240" w:lineRule="auto"/>
              <w:jc w:val="center"/>
              <w:rPr>
                <w:rFonts w:ascii="Times New Roman" w:eastAsia="Times New Roman" w:hAnsi="Times New Roman" w:cs="Times New Roman"/>
                <w:bCs/>
                <w:color w:val="000000"/>
                <w:sz w:val="20"/>
                <w:lang w:eastAsia="pt-BR"/>
              </w:rPr>
            </w:pPr>
            <w:r w:rsidRPr="005C255C">
              <w:rPr>
                <w:rFonts w:ascii="Times New Roman" w:eastAsia="Times New Roman" w:hAnsi="Times New Roman" w:cs="Times New Roman"/>
                <w:bCs/>
                <w:color w:val="000000"/>
                <w:sz w:val="20"/>
                <w:lang w:eastAsia="pt-BR"/>
              </w:rPr>
              <w:t>INDICADORES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942289A" w14:textId="77777777" w:rsidR="005C255C" w:rsidRPr="005C255C" w:rsidRDefault="005C255C" w:rsidP="005C255C">
            <w:pPr>
              <w:spacing w:after="0" w:line="240" w:lineRule="auto"/>
              <w:jc w:val="center"/>
              <w:rPr>
                <w:rFonts w:ascii="Times New Roman" w:eastAsia="Times New Roman" w:hAnsi="Times New Roman" w:cs="Times New Roman"/>
                <w:bCs/>
                <w:color w:val="000000"/>
                <w:sz w:val="20"/>
                <w:lang w:eastAsia="pt-BR"/>
              </w:rPr>
            </w:pPr>
            <w:r w:rsidRPr="005C255C">
              <w:rPr>
                <w:rFonts w:ascii="Times New Roman" w:eastAsia="Times New Roman" w:hAnsi="Times New Roman" w:cs="Times New Roman"/>
                <w:bCs/>
                <w:color w:val="000000"/>
                <w:sz w:val="20"/>
                <w:lang w:eastAsia="pt-BR"/>
              </w:rPr>
              <w:t>MÉDIA</w:t>
            </w:r>
            <w:r w:rsidRPr="005C255C">
              <w:rPr>
                <w:rFonts w:ascii="Times New Roman" w:eastAsia="Times New Roman" w:hAnsi="Times New Roman" w:cs="Times New Roman"/>
                <w:bCs/>
                <w:color w:val="000000"/>
                <w:sz w:val="20"/>
                <w:lang w:eastAsia="pt-BR"/>
              </w:rPr>
              <w:br/>
              <w:t>IMPORTÂNCIA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1C5FE8" w14:textId="77777777" w:rsidR="005C255C" w:rsidRPr="005C255C" w:rsidRDefault="005C255C" w:rsidP="005C255C">
            <w:pPr>
              <w:spacing w:after="0" w:line="240" w:lineRule="auto"/>
              <w:jc w:val="center"/>
              <w:rPr>
                <w:rFonts w:ascii="Times New Roman" w:eastAsia="Times New Roman" w:hAnsi="Times New Roman" w:cs="Times New Roman"/>
                <w:bCs/>
                <w:color w:val="000000"/>
                <w:sz w:val="20"/>
                <w:lang w:eastAsia="pt-BR"/>
              </w:rPr>
            </w:pPr>
            <w:r w:rsidRPr="005C255C">
              <w:rPr>
                <w:rFonts w:ascii="Times New Roman" w:eastAsia="Times New Roman" w:hAnsi="Times New Roman" w:cs="Times New Roman"/>
                <w:bCs/>
                <w:color w:val="000000"/>
                <w:sz w:val="20"/>
                <w:lang w:eastAsia="pt-BR"/>
              </w:rPr>
              <w:t>MÉDIA</w:t>
            </w:r>
            <w:r w:rsidRPr="005C255C">
              <w:rPr>
                <w:rFonts w:ascii="Times New Roman" w:eastAsia="Times New Roman" w:hAnsi="Times New Roman" w:cs="Times New Roman"/>
                <w:bCs/>
                <w:color w:val="000000"/>
                <w:sz w:val="20"/>
                <w:lang w:eastAsia="pt-BR"/>
              </w:rPr>
              <w:br/>
              <w:t>INFLUÊNCIA</w:t>
            </w:r>
          </w:p>
        </w:tc>
      </w:tr>
      <w:tr w:rsidR="005C255C" w:rsidRPr="005C255C" w14:paraId="3E3DA06C" w14:textId="77777777" w:rsidTr="00FB076A">
        <w:trPr>
          <w:trHeight w:val="600"/>
        </w:trPr>
        <w:tc>
          <w:tcPr>
            <w:tcW w:w="1350" w:type="dxa"/>
            <w:vMerge w:val="restart"/>
            <w:tcBorders>
              <w:top w:val="single" w:sz="4" w:space="0" w:color="auto"/>
              <w:left w:val="single" w:sz="4" w:space="0" w:color="auto"/>
              <w:right w:val="single" w:sz="4" w:space="0" w:color="auto"/>
            </w:tcBorders>
            <w:shd w:val="clear" w:color="auto" w:fill="auto"/>
            <w:vAlign w:val="center"/>
            <w:hideMark/>
          </w:tcPr>
          <w:p w14:paraId="01FE5628" w14:textId="77777777" w:rsidR="005C255C" w:rsidRPr="00FB076A" w:rsidRDefault="005C255C" w:rsidP="005C255C">
            <w:pPr>
              <w:spacing w:after="0" w:line="240" w:lineRule="auto"/>
              <w:jc w:val="center"/>
              <w:rPr>
                <w:rFonts w:ascii="Times New Roman" w:eastAsia="Times New Roman" w:hAnsi="Times New Roman" w:cs="Times New Roman"/>
                <w:bCs/>
                <w:color w:val="000000"/>
                <w:lang w:eastAsia="pt-BR"/>
              </w:rPr>
            </w:pPr>
            <w:r w:rsidRPr="005C255C">
              <w:rPr>
                <w:rFonts w:ascii="Times New Roman" w:eastAsia="Times New Roman" w:hAnsi="Times New Roman" w:cs="Times New Roman"/>
                <w:bCs/>
                <w:color w:val="000000"/>
                <w:lang w:eastAsia="pt-BR"/>
              </w:rPr>
              <w:t>Sáude e Segurança Ocupacional</w:t>
            </w:r>
          </w:p>
          <w:p w14:paraId="153BF76E" w14:textId="31B16848" w:rsidR="005C255C" w:rsidRPr="00FB076A" w:rsidRDefault="005C255C" w:rsidP="005C255C">
            <w:pPr>
              <w:spacing w:after="0" w:line="240" w:lineRule="auto"/>
              <w:jc w:val="center"/>
              <w:rPr>
                <w:rFonts w:ascii="Times New Roman" w:eastAsia="Times New Roman" w:hAnsi="Times New Roman" w:cs="Times New Roman"/>
                <w:bCs/>
                <w:color w:val="000000"/>
                <w:lang w:eastAsia="pt-BR"/>
              </w:rPr>
            </w:pPr>
          </w:p>
          <w:p w14:paraId="388FE199" w14:textId="77777777" w:rsidR="005C255C" w:rsidRPr="00FB076A" w:rsidRDefault="005C255C" w:rsidP="005C255C">
            <w:pPr>
              <w:spacing w:after="0" w:line="240" w:lineRule="auto"/>
              <w:jc w:val="left"/>
              <w:rPr>
                <w:rFonts w:ascii="Times New Roman" w:eastAsia="Times New Roman" w:hAnsi="Times New Roman" w:cs="Times New Roman"/>
                <w:b/>
                <w:bCs/>
                <w:color w:val="000000"/>
                <w:lang w:eastAsia="pt-BR"/>
              </w:rPr>
            </w:pPr>
            <w:r w:rsidRPr="005C255C">
              <w:rPr>
                <w:rFonts w:ascii="Times New Roman" w:eastAsia="Times New Roman" w:hAnsi="Times New Roman" w:cs="Times New Roman"/>
                <w:b/>
                <w:bCs/>
                <w:color w:val="000000"/>
                <w:lang w:eastAsia="pt-BR"/>
              </w:rPr>
              <w:t> </w:t>
            </w:r>
          </w:p>
          <w:p w14:paraId="02CE82A0" w14:textId="77777777" w:rsidR="005C255C" w:rsidRPr="00FB076A" w:rsidRDefault="005C255C" w:rsidP="005C255C">
            <w:pPr>
              <w:spacing w:after="0" w:line="240" w:lineRule="auto"/>
              <w:jc w:val="left"/>
              <w:rPr>
                <w:rFonts w:ascii="Times New Roman" w:eastAsia="Times New Roman" w:hAnsi="Times New Roman" w:cs="Times New Roman"/>
                <w:b/>
                <w:bCs/>
                <w:color w:val="000000"/>
                <w:lang w:eastAsia="pt-BR"/>
              </w:rPr>
            </w:pPr>
            <w:r w:rsidRPr="005C255C">
              <w:rPr>
                <w:rFonts w:ascii="Times New Roman" w:eastAsia="Times New Roman" w:hAnsi="Times New Roman" w:cs="Times New Roman"/>
                <w:b/>
                <w:bCs/>
                <w:color w:val="000000"/>
                <w:lang w:eastAsia="pt-BR"/>
              </w:rPr>
              <w:t> </w:t>
            </w:r>
          </w:p>
          <w:p w14:paraId="4775F803" w14:textId="77777777" w:rsidR="005C255C" w:rsidRPr="00FB076A" w:rsidRDefault="005C255C" w:rsidP="005C255C">
            <w:pPr>
              <w:spacing w:after="0" w:line="240" w:lineRule="auto"/>
              <w:jc w:val="left"/>
              <w:rPr>
                <w:rFonts w:ascii="Times New Roman" w:eastAsia="Times New Roman" w:hAnsi="Times New Roman" w:cs="Times New Roman"/>
                <w:b/>
                <w:bCs/>
                <w:color w:val="000000"/>
                <w:lang w:eastAsia="pt-BR"/>
              </w:rPr>
            </w:pPr>
            <w:r w:rsidRPr="005C255C">
              <w:rPr>
                <w:rFonts w:ascii="Times New Roman" w:eastAsia="Times New Roman" w:hAnsi="Times New Roman" w:cs="Times New Roman"/>
                <w:b/>
                <w:bCs/>
                <w:color w:val="000000"/>
                <w:lang w:eastAsia="pt-BR"/>
              </w:rPr>
              <w:t> </w:t>
            </w:r>
          </w:p>
          <w:p w14:paraId="13B8544D" w14:textId="77777777" w:rsidR="005C255C" w:rsidRPr="00FB076A" w:rsidRDefault="005C255C" w:rsidP="005C255C">
            <w:pPr>
              <w:spacing w:after="0" w:line="240" w:lineRule="auto"/>
              <w:jc w:val="left"/>
              <w:rPr>
                <w:rFonts w:ascii="Times New Roman" w:eastAsia="Times New Roman" w:hAnsi="Times New Roman" w:cs="Times New Roman"/>
                <w:b/>
                <w:bCs/>
                <w:color w:val="000000"/>
                <w:lang w:eastAsia="pt-BR"/>
              </w:rPr>
            </w:pPr>
            <w:r w:rsidRPr="005C255C">
              <w:rPr>
                <w:rFonts w:ascii="Times New Roman" w:eastAsia="Times New Roman" w:hAnsi="Times New Roman" w:cs="Times New Roman"/>
                <w:b/>
                <w:bCs/>
                <w:color w:val="000000"/>
                <w:lang w:eastAsia="pt-BR"/>
              </w:rPr>
              <w:t> </w:t>
            </w:r>
          </w:p>
          <w:p w14:paraId="2186C3D9" w14:textId="77777777" w:rsidR="005C255C" w:rsidRPr="00FB076A" w:rsidRDefault="005C255C" w:rsidP="005C255C">
            <w:pPr>
              <w:spacing w:after="0" w:line="240" w:lineRule="auto"/>
              <w:jc w:val="left"/>
              <w:rPr>
                <w:rFonts w:ascii="Times New Roman" w:eastAsia="Times New Roman" w:hAnsi="Times New Roman" w:cs="Times New Roman"/>
                <w:b/>
                <w:bCs/>
                <w:color w:val="000000"/>
                <w:lang w:eastAsia="pt-BR"/>
              </w:rPr>
            </w:pPr>
            <w:r w:rsidRPr="005C255C">
              <w:rPr>
                <w:rFonts w:ascii="Times New Roman" w:eastAsia="Times New Roman" w:hAnsi="Times New Roman" w:cs="Times New Roman"/>
                <w:b/>
                <w:bCs/>
                <w:color w:val="000000"/>
                <w:lang w:eastAsia="pt-BR"/>
              </w:rPr>
              <w:t> </w:t>
            </w:r>
          </w:p>
          <w:p w14:paraId="4A14264F" w14:textId="77777777" w:rsidR="005C255C" w:rsidRPr="00FB076A" w:rsidRDefault="005C255C" w:rsidP="005C255C">
            <w:pPr>
              <w:spacing w:after="0" w:line="240" w:lineRule="auto"/>
              <w:jc w:val="left"/>
              <w:rPr>
                <w:rFonts w:ascii="Times New Roman" w:eastAsia="Times New Roman" w:hAnsi="Times New Roman" w:cs="Times New Roman"/>
                <w:b/>
                <w:bCs/>
                <w:color w:val="000000"/>
                <w:lang w:eastAsia="pt-BR"/>
              </w:rPr>
            </w:pPr>
            <w:r w:rsidRPr="005C255C">
              <w:rPr>
                <w:rFonts w:ascii="Times New Roman" w:eastAsia="Times New Roman" w:hAnsi="Times New Roman" w:cs="Times New Roman"/>
                <w:b/>
                <w:bCs/>
                <w:color w:val="000000"/>
                <w:lang w:eastAsia="pt-BR"/>
              </w:rPr>
              <w:t> </w:t>
            </w:r>
          </w:p>
          <w:p w14:paraId="5EC8A49D" w14:textId="020E93AC"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r w:rsidRPr="005C255C">
              <w:rPr>
                <w:rFonts w:ascii="Times New Roman" w:eastAsia="Times New Roman" w:hAnsi="Times New Roman" w:cs="Times New Roman"/>
                <w:b/>
                <w:bCs/>
                <w:color w:val="000000"/>
                <w:lang w:eastAsia="pt-BR"/>
              </w:rPr>
              <w:t> </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01551"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403-1</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B1EAF0C"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Sistema de gestão de saúde ocupacional e segurança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32E4B67"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20FABC6"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4,5</w:t>
            </w:r>
          </w:p>
        </w:tc>
      </w:tr>
      <w:tr w:rsidR="005C255C" w:rsidRPr="005C255C" w14:paraId="0CCFE551" w14:textId="77777777" w:rsidTr="00FB076A">
        <w:trPr>
          <w:trHeight w:val="600"/>
        </w:trPr>
        <w:tc>
          <w:tcPr>
            <w:tcW w:w="1350" w:type="dxa"/>
            <w:vMerge/>
            <w:tcBorders>
              <w:left w:val="single" w:sz="4" w:space="0" w:color="auto"/>
              <w:right w:val="single" w:sz="4" w:space="0" w:color="auto"/>
            </w:tcBorders>
            <w:shd w:val="clear" w:color="auto" w:fill="auto"/>
            <w:vAlign w:val="center"/>
            <w:hideMark/>
          </w:tcPr>
          <w:p w14:paraId="5D4032BD" w14:textId="41D0CABC"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nil"/>
              <w:left w:val="single" w:sz="4" w:space="0" w:color="auto"/>
              <w:bottom w:val="single" w:sz="4" w:space="0" w:color="auto"/>
              <w:right w:val="single" w:sz="4" w:space="0" w:color="auto"/>
            </w:tcBorders>
            <w:shd w:val="clear" w:color="auto" w:fill="auto"/>
            <w:noWrap/>
            <w:vAlign w:val="center"/>
            <w:hideMark/>
          </w:tcPr>
          <w:p w14:paraId="02E75EE5"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403-2</w:t>
            </w:r>
          </w:p>
        </w:tc>
        <w:tc>
          <w:tcPr>
            <w:tcW w:w="3260" w:type="dxa"/>
            <w:tcBorders>
              <w:top w:val="nil"/>
              <w:left w:val="nil"/>
              <w:bottom w:val="single" w:sz="4" w:space="0" w:color="auto"/>
              <w:right w:val="single" w:sz="4" w:space="0" w:color="auto"/>
            </w:tcBorders>
            <w:shd w:val="clear" w:color="auto" w:fill="auto"/>
            <w:vAlign w:val="center"/>
            <w:hideMark/>
          </w:tcPr>
          <w:p w14:paraId="01302FB1"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Identificação de perigos, avaliação de riscos e investigação de incidentes</w:t>
            </w:r>
          </w:p>
        </w:tc>
        <w:tc>
          <w:tcPr>
            <w:tcW w:w="1560" w:type="dxa"/>
            <w:tcBorders>
              <w:top w:val="nil"/>
              <w:left w:val="nil"/>
              <w:bottom w:val="single" w:sz="4" w:space="0" w:color="auto"/>
              <w:right w:val="single" w:sz="4" w:space="0" w:color="auto"/>
            </w:tcBorders>
            <w:shd w:val="clear" w:color="auto" w:fill="auto"/>
            <w:vAlign w:val="center"/>
            <w:hideMark/>
          </w:tcPr>
          <w:p w14:paraId="30A24B22"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nil"/>
              <w:left w:val="nil"/>
              <w:bottom w:val="single" w:sz="4" w:space="0" w:color="auto"/>
              <w:right w:val="single" w:sz="4" w:space="0" w:color="auto"/>
            </w:tcBorders>
            <w:shd w:val="clear" w:color="auto" w:fill="auto"/>
            <w:noWrap/>
            <w:vAlign w:val="center"/>
            <w:hideMark/>
          </w:tcPr>
          <w:p w14:paraId="5D2919CE"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4,5</w:t>
            </w:r>
          </w:p>
        </w:tc>
      </w:tr>
      <w:tr w:rsidR="005C255C" w:rsidRPr="005C255C" w14:paraId="4E61A053" w14:textId="77777777" w:rsidTr="00FB076A">
        <w:trPr>
          <w:trHeight w:val="300"/>
        </w:trPr>
        <w:tc>
          <w:tcPr>
            <w:tcW w:w="1350" w:type="dxa"/>
            <w:vMerge/>
            <w:tcBorders>
              <w:left w:val="single" w:sz="4" w:space="0" w:color="auto"/>
              <w:right w:val="single" w:sz="4" w:space="0" w:color="auto"/>
            </w:tcBorders>
            <w:shd w:val="clear" w:color="auto" w:fill="auto"/>
            <w:vAlign w:val="center"/>
            <w:hideMark/>
          </w:tcPr>
          <w:p w14:paraId="1E9D1EC2" w14:textId="1D41F449"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nil"/>
              <w:left w:val="single" w:sz="4" w:space="0" w:color="auto"/>
              <w:bottom w:val="single" w:sz="4" w:space="0" w:color="auto"/>
              <w:right w:val="single" w:sz="4" w:space="0" w:color="auto"/>
            </w:tcBorders>
            <w:shd w:val="clear" w:color="auto" w:fill="auto"/>
            <w:noWrap/>
            <w:vAlign w:val="center"/>
            <w:hideMark/>
          </w:tcPr>
          <w:p w14:paraId="0CB1B326"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403-3</w:t>
            </w:r>
          </w:p>
        </w:tc>
        <w:tc>
          <w:tcPr>
            <w:tcW w:w="3260" w:type="dxa"/>
            <w:tcBorders>
              <w:top w:val="nil"/>
              <w:left w:val="nil"/>
              <w:bottom w:val="single" w:sz="4" w:space="0" w:color="auto"/>
              <w:right w:val="single" w:sz="4" w:space="0" w:color="auto"/>
            </w:tcBorders>
            <w:shd w:val="clear" w:color="auto" w:fill="auto"/>
            <w:vAlign w:val="center"/>
            <w:hideMark/>
          </w:tcPr>
          <w:p w14:paraId="183274E6"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Serviços de saúde ocupacional</w:t>
            </w:r>
          </w:p>
        </w:tc>
        <w:tc>
          <w:tcPr>
            <w:tcW w:w="1560" w:type="dxa"/>
            <w:tcBorders>
              <w:top w:val="nil"/>
              <w:left w:val="nil"/>
              <w:bottom w:val="single" w:sz="4" w:space="0" w:color="auto"/>
              <w:right w:val="single" w:sz="4" w:space="0" w:color="auto"/>
            </w:tcBorders>
            <w:shd w:val="clear" w:color="auto" w:fill="auto"/>
            <w:vAlign w:val="center"/>
            <w:hideMark/>
          </w:tcPr>
          <w:p w14:paraId="62BB68F4"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nil"/>
              <w:left w:val="nil"/>
              <w:bottom w:val="single" w:sz="4" w:space="0" w:color="auto"/>
              <w:right w:val="single" w:sz="4" w:space="0" w:color="auto"/>
            </w:tcBorders>
            <w:shd w:val="clear" w:color="auto" w:fill="auto"/>
            <w:noWrap/>
            <w:vAlign w:val="center"/>
            <w:hideMark/>
          </w:tcPr>
          <w:p w14:paraId="4AB64AD5"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4,5</w:t>
            </w:r>
          </w:p>
        </w:tc>
      </w:tr>
      <w:tr w:rsidR="005C255C" w:rsidRPr="005C255C" w14:paraId="6FDFAE5F" w14:textId="77777777" w:rsidTr="00FB076A">
        <w:trPr>
          <w:trHeight w:val="900"/>
        </w:trPr>
        <w:tc>
          <w:tcPr>
            <w:tcW w:w="1350" w:type="dxa"/>
            <w:vMerge/>
            <w:tcBorders>
              <w:left w:val="single" w:sz="4" w:space="0" w:color="auto"/>
              <w:right w:val="single" w:sz="4" w:space="0" w:color="auto"/>
            </w:tcBorders>
            <w:shd w:val="clear" w:color="auto" w:fill="auto"/>
            <w:vAlign w:val="center"/>
            <w:hideMark/>
          </w:tcPr>
          <w:p w14:paraId="12506CEB" w14:textId="6B200BB0"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nil"/>
              <w:left w:val="single" w:sz="4" w:space="0" w:color="auto"/>
              <w:bottom w:val="single" w:sz="4" w:space="0" w:color="auto"/>
              <w:right w:val="single" w:sz="4" w:space="0" w:color="auto"/>
            </w:tcBorders>
            <w:shd w:val="clear" w:color="auto" w:fill="auto"/>
            <w:noWrap/>
            <w:vAlign w:val="center"/>
            <w:hideMark/>
          </w:tcPr>
          <w:p w14:paraId="326F21E7"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403-4</w:t>
            </w:r>
          </w:p>
        </w:tc>
        <w:tc>
          <w:tcPr>
            <w:tcW w:w="3260" w:type="dxa"/>
            <w:tcBorders>
              <w:top w:val="nil"/>
              <w:left w:val="nil"/>
              <w:bottom w:val="single" w:sz="4" w:space="0" w:color="auto"/>
              <w:right w:val="single" w:sz="4" w:space="0" w:color="auto"/>
            </w:tcBorders>
            <w:shd w:val="clear" w:color="auto" w:fill="auto"/>
            <w:vAlign w:val="center"/>
            <w:hideMark/>
          </w:tcPr>
          <w:p w14:paraId="6C746D09"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Participação do trabalhador, consulta e comunicação sobre saúde e segurança ocupacional</w:t>
            </w:r>
          </w:p>
        </w:tc>
        <w:tc>
          <w:tcPr>
            <w:tcW w:w="1560" w:type="dxa"/>
            <w:tcBorders>
              <w:top w:val="nil"/>
              <w:left w:val="nil"/>
              <w:bottom w:val="single" w:sz="4" w:space="0" w:color="auto"/>
              <w:right w:val="single" w:sz="4" w:space="0" w:color="auto"/>
            </w:tcBorders>
            <w:shd w:val="clear" w:color="auto" w:fill="auto"/>
            <w:vAlign w:val="center"/>
            <w:hideMark/>
          </w:tcPr>
          <w:p w14:paraId="4987F578"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nil"/>
              <w:left w:val="nil"/>
              <w:bottom w:val="single" w:sz="4" w:space="0" w:color="auto"/>
              <w:right w:val="single" w:sz="4" w:space="0" w:color="auto"/>
            </w:tcBorders>
            <w:shd w:val="clear" w:color="auto" w:fill="auto"/>
            <w:noWrap/>
            <w:vAlign w:val="center"/>
            <w:hideMark/>
          </w:tcPr>
          <w:p w14:paraId="7FE0D887"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w:t>
            </w:r>
          </w:p>
        </w:tc>
      </w:tr>
      <w:tr w:rsidR="005C255C" w:rsidRPr="005C255C" w14:paraId="087EA83F" w14:textId="77777777" w:rsidTr="00FB076A">
        <w:trPr>
          <w:trHeight w:val="600"/>
        </w:trPr>
        <w:tc>
          <w:tcPr>
            <w:tcW w:w="1350" w:type="dxa"/>
            <w:vMerge/>
            <w:tcBorders>
              <w:left w:val="single" w:sz="4" w:space="0" w:color="auto"/>
              <w:right w:val="single" w:sz="4" w:space="0" w:color="auto"/>
            </w:tcBorders>
            <w:shd w:val="clear" w:color="auto" w:fill="auto"/>
            <w:vAlign w:val="center"/>
            <w:hideMark/>
          </w:tcPr>
          <w:p w14:paraId="7331721D" w14:textId="5C7D2E14"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nil"/>
              <w:left w:val="single" w:sz="4" w:space="0" w:color="auto"/>
              <w:bottom w:val="single" w:sz="4" w:space="0" w:color="auto"/>
              <w:right w:val="single" w:sz="4" w:space="0" w:color="auto"/>
            </w:tcBorders>
            <w:shd w:val="clear" w:color="auto" w:fill="auto"/>
            <w:noWrap/>
            <w:vAlign w:val="center"/>
            <w:hideMark/>
          </w:tcPr>
          <w:p w14:paraId="4AF3A943"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403-5</w:t>
            </w:r>
          </w:p>
        </w:tc>
        <w:tc>
          <w:tcPr>
            <w:tcW w:w="3260" w:type="dxa"/>
            <w:tcBorders>
              <w:top w:val="nil"/>
              <w:left w:val="nil"/>
              <w:bottom w:val="single" w:sz="4" w:space="0" w:color="auto"/>
              <w:right w:val="single" w:sz="4" w:space="0" w:color="auto"/>
            </w:tcBorders>
            <w:shd w:val="clear" w:color="auto" w:fill="auto"/>
            <w:vAlign w:val="center"/>
            <w:hideMark/>
          </w:tcPr>
          <w:p w14:paraId="00B14A62"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Treinamento de trabalhadores em saúde e segurança ocupacional</w:t>
            </w:r>
          </w:p>
        </w:tc>
        <w:tc>
          <w:tcPr>
            <w:tcW w:w="1560" w:type="dxa"/>
            <w:tcBorders>
              <w:top w:val="nil"/>
              <w:left w:val="nil"/>
              <w:bottom w:val="single" w:sz="4" w:space="0" w:color="auto"/>
              <w:right w:val="single" w:sz="4" w:space="0" w:color="auto"/>
            </w:tcBorders>
            <w:shd w:val="clear" w:color="auto" w:fill="auto"/>
            <w:vAlign w:val="center"/>
            <w:hideMark/>
          </w:tcPr>
          <w:p w14:paraId="2C7F3951"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nil"/>
              <w:left w:val="nil"/>
              <w:bottom w:val="single" w:sz="4" w:space="0" w:color="auto"/>
              <w:right w:val="single" w:sz="4" w:space="0" w:color="auto"/>
            </w:tcBorders>
            <w:shd w:val="clear" w:color="auto" w:fill="auto"/>
            <w:noWrap/>
            <w:vAlign w:val="center"/>
            <w:hideMark/>
          </w:tcPr>
          <w:p w14:paraId="27C6963F"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w:t>
            </w:r>
          </w:p>
        </w:tc>
      </w:tr>
      <w:tr w:rsidR="005C255C" w:rsidRPr="005C255C" w14:paraId="59F0878D" w14:textId="77777777" w:rsidTr="00FB076A">
        <w:trPr>
          <w:trHeight w:val="300"/>
        </w:trPr>
        <w:tc>
          <w:tcPr>
            <w:tcW w:w="1350" w:type="dxa"/>
            <w:vMerge/>
            <w:tcBorders>
              <w:left w:val="single" w:sz="4" w:space="0" w:color="auto"/>
              <w:right w:val="single" w:sz="4" w:space="0" w:color="auto"/>
            </w:tcBorders>
            <w:shd w:val="clear" w:color="auto" w:fill="auto"/>
            <w:vAlign w:val="center"/>
            <w:hideMark/>
          </w:tcPr>
          <w:p w14:paraId="7E09414D" w14:textId="5B248166"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nil"/>
              <w:left w:val="single" w:sz="4" w:space="0" w:color="auto"/>
              <w:bottom w:val="single" w:sz="4" w:space="0" w:color="auto"/>
              <w:right w:val="single" w:sz="4" w:space="0" w:color="auto"/>
            </w:tcBorders>
            <w:shd w:val="clear" w:color="auto" w:fill="auto"/>
            <w:noWrap/>
            <w:vAlign w:val="center"/>
            <w:hideMark/>
          </w:tcPr>
          <w:p w14:paraId="441B294F"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403-6</w:t>
            </w:r>
          </w:p>
        </w:tc>
        <w:tc>
          <w:tcPr>
            <w:tcW w:w="3260" w:type="dxa"/>
            <w:tcBorders>
              <w:top w:val="nil"/>
              <w:left w:val="nil"/>
              <w:bottom w:val="single" w:sz="4" w:space="0" w:color="auto"/>
              <w:right w:val="single" w:sz="4" w:space="0" w:color="auto"/>
            </w:tcBorders>
            <w:shd w:val="clear" w:color="auto" w:fill="auto"/>
            <w:vAlign w:val="center"/>
            <w:hideMark/>
          </w:tcPr>
          <w:p w14:paraId="610CA75F"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Promoção da saúde do trabalhador</w:t>
            </w:r>
          </w:p>
        </w:tc>
        <w:tc>
          <w:tcPr>
            <w:tcW w:w="1560" w:type="dxa"/>
            <w:tcBorders>
              <w:top w:val="nil"/>
              <w:left w:val="nil"/>
              <w:bottom w:val="single" w:sz="4" w:space="0" w:color="auto"/>
              <w:right w:val="single" w:sz="4" w:space="0" w:color="auto"/>
            </w:tcBorders>
            <w:shd w:val="clear" w:color="auto" w:fill="auto"/>
            <w:vAlign w:val="center"/>
            <w:hideMark/>
          </w:tcPr>
          <w:p w14:paraId="3D7DC207"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nil"/>
              <w:left w:val="nil"/>
              <w:bottom w:val="single" w:sz="4" w:space="0" w:color="auto"/>
              <w:right w:val="single" w:sz="4" w:space="0" w:color="auto"/>
            </w:tcBorders>
            <w:shd w:val="clear" w:color="auto" w:fill="auto"/>
            <w:noWrap/>
            <w:vAlign w:val="center"/>
            <w:hideMark/>
          </w:tcPr>
          <w:p w14:paraId="1C894A35"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w:t>
            </w:r>
          </w:p>
        </w:tc>
      </w:tr>
      <w:tr w:rsidR="005C255C" w:rsidRPr="005C255C" w14:paraId="1D1CABF8" w14:textId="77777777" w:rsidTr="00FB076A">
        <w:trPr>
          <w:trHeight w:val="900"/>
        </w:trPr>
        <w:tc>
          <w:tcPr>
            <w:tcW w:w="1350" w:type="dxa"/>
            <w:vMerge/>
            <w:tcBorders>
              <w:left w:val="single" w:sz="4" w:space="0" w:color="auto"/>
              <w:right w:val="single" w:sz="4" w:space="0" w:color="auto"/>
            </w:tcBorders>
            <w:shd w:val="clear" w:color="auto" w:fill="auto"/>
            <w:vAlign w:val="center"/>
            <w:hideMark/>
          </w:tcPr>
          <w:p w14:paraId="7B8D242E" w14:textId="6A143D77"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nil"/>
              <w:left w:val="single" w:sz="4" w:space="0" w:color="auto"/>
              <w:bottom w:val="single" w:sz="4" w:space="0" w:color="auto"/>
              <w:right w:val="single" w:sz="4" w:space="0" w:color="auto"/>
            </w:tcBorders>
            <w:shd w:val="clear" w:color="auto" w:fill="auto"/>
            <w:noWrap/>
            <w:vAlign w:val="center"/>
            <w:hideMark/>
          </w:tcPr>
          <w:p w14:paraId="70B1F17E"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403-7</w:t>
            </w:r>
          </w:p>
        </w:tc>
        <w:tc>
          <w:tcPr>
            <w:tcW w:w="3260" w:type="dxa"/>
            <w:tcBorders>
              <w:top w:val="nil"/>
              <w:left w:val="nil"/>
              <w:bottom w:val="single" w:sz="4" w:space="0" w:color="auto"/>
              <w:right w:val="single" w:sz="4" w:space="0" w:color="auto"/>
            </w:tcBorders>
            <w:shd w:val="clear" w:color="auto" w:fill="auto"/>
            <w:vAlign w:val="center"/>
            <w:hideMark/>
          </w:tcPr>
          <w:p w14:paraId="758A677B"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Prevenção e mitigação de impactos na saúde e segurança ocupacional diretamente ligados por relações comerciais</w:t>
            </w:r>
          </w:p>
        </w:tc>
        <w:tc>
          <w:tcPr>
            <w:tcW w:w="1560" w:type="dxa"/>
            <w:tcBorders>
              <w:top w:val="nil"/>
              <w:left w:val="nil"/>
              <w:bottom w:val="single" w:sz="4" w:space="0" w:color="auto"/>
              <w:right w:val="single" w:sz="4" w:space="0" w:color="auto"/>
            </w:tcBorders>
            <w:shd w:val="clear" w:color="auto" w:fill="auto"/>
            <w:vAlign w:val="center"/>
            <w:hideMark/>
          </w:tcPr>
          <w:p w14:paraId="59B0CB80"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nil"/>
              <w:left w:val="nil"/>
              <w:bottom w:val="single" w:sz="4" w:space="0" w:color="auto"/>
              <w:right w:val="single" w:sz="4" w:space="0" w:color="auto"/>
            </w:tcBorders>
            <w:shd w:val="clear" w:color="auto" w:fill="auto"/>
            <w:noWrap/>
            <w:vAlign w:val="center"/>
            <w:hideMark/>
          </w:tcPr>
          <w:p w14:paraId="6E7BC40A"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4,5</w:t>
            </w:r>
          </w:p>
        </w:tc>
      </w:tr>
      <w:tr w:rsidR="005C255C" w:rsidRPr="005C255C" w14:paraId="6B414670" w14:textId="77777777" w:rsidTr="00FB076A">
        <w:trPr>
          <w:trHeight w:val="315"/>
        </w:trPr>
        <w:tc>
          <w:tcPr>
            <w:tcW w:w="1350" w:type="dxa"/>
            <w:vMerge/>
            <w:tcBorders>
              <w:left w:val="single" w:sz="4" w:space="0" w:color="auto"/>
              <w:right w:val="single" w:sz="4" w:space="0" w:color="auto"/>
            </w:tcBorders>
            <w:shd w:val="clear" w:color="auto" w:fill="auto"/>
            <w:vAlign w:val="center"/>
            <w:hideMark/>
          </w:tcPr>
          <w:p w14:paraId="6FFE1824" w14:textId="4F408AEA"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10F20"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403-9</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17DDDD6C"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Lesões relacionadas ao trabalho</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58444D0"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E50C278"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r>
      <w:tr w:rsidR="005C255C" w:rsidRPr="005C255C" w14:paraId="4BA9D266" w14:textId="77777777" w:rsidTr="00FB076A">
        <w:trPr>
          <w:trHeight w:val="600"/>
        </w:trPr>
        <w:tc>
          <w:tcPr>
            <w:tcW w:w="1350" w:type="dxa"/>
            <w:vMerge/>
            <w:tcBorders>
              <w:left w:val="single" w:sz="4" w:space="0" w:color="auto"/>
              <w:bottom w:val="single" w:sz="4" w:space="0" w:color="auto"/>
              <w:right w:val="single" w:sz="4" w:space="0" w:color="auto"/>
            </w:tcBorders>
            <w:shd w:val="clear" w:color="auto" w:fill="auto"/>
            <w:vAlign w:val="center"/>
            <w:hideMark/>
          </w:tcPr>
          <w:p w14:paraId="42383684" w14:textId="4ADD81C9" w:rsidR="005C255C" w:rsidRPr="005C255C" w:rsidRDefault="005C255C" w:rsidP="005C255C">
            <w:pPr>
              <w:spacing w:after="0" w:line="240" w:lineRule="auto"/>
              <w:jc w:val="left"/>
              <w:rPr>
                <w:rFonts w:ascii="Times New Roman" w:eastAsia="Times New Roman" w:hAnsi="Times New Roman" w:cs="Times New Roman"/>
                <w:b/>
                <w:bCs/>
                <w:color w:val="000000"/>
                <w:lang w:eastAsia="pt-BR"/>
              </w:rPr>
            </w:pPr>
          </w:p>
        </w:tc>
        <w:tc>
          <w:tcPr>
            <w:tcW w:w="1055" w:type="dxa"/>
            <w:tcBorders>
              <w:top w:val="nil"/>
              <w:left w:val="single" w:sz="4" w:space="0" w:color="auto"/>
              <w:bottom w:val="single" w:sz="4" w:space="0" w:color="auto"/>
              <w:right w:val="single" w:sz="4" w:space="0" w:color="auto"/>
            </w:tcBorders>
            <w:shd w:val="clear" w:color="auto" w:fill="auto"/>
            <w:noWrap/>
            <w:vAlign w:val="center"/>
            <w:hideMark/>
          </w:tcPr>
          <w:p w14:paraId="01903B4D"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403-10</w:t>
            </w:r>
          </w:p>
        </w:tc>
        <w:tc>
          <w:tcPr>
            <w:tcW w:w="3260" w:type="dxa"/>
            <w:tcBorders>
              <w:top w:val="nil"/>
              <w:left w:val="nil"/>
              <w:bottom w:val="single" w:sz="4" w:space="0" w:color="auto"/>
              <w:right w:val="single" w:sz="4" w:space="0" w:color="auto"/>
            </w:tcBorders>
            <w:shd w:val="clear" w:color="auto" w:fill="auto"/>
            <w:vAlign w:val="center"/>
            <w:hideMark/>
          </w:tcPr>
          <w:p w14:paraId="153FA82E"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Problemas de saúde relacionados ao trabalho</w:t>
            </w:r>
          </w:p>
        </w:tc>
        <w:tc>
          <w:tcPr>
            <w:tcW w:w="1560" w:type="dxa"/>
            <w:tcBorders>
              <w:top w:val="nil"/>
              <w:left w:val="nil"/>
              <w:bottom w:val="single" w:sz="4" w:space="0" w:color="auto"/>
              <w:right w:val="single" w:sz="4" w:space="0" w:color="auto"/>
            </w:tcBorders>
            <w:shd w:val="clear" w:color="auto" w:fill="auto"/>
            <w:vAlign w:val="center"/>
            <w:hideMark/>
          </w:tcPr>
          <w:p w14:paraId="4623B0D2"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nil"/>
              <w:left w:val="nil"/>
              <w:bottom w:val="single" w:sz="4" w:space="0" w:color="auto"/>
              <w:right w:val="single" w:sz="4" w:space="0" w:color="auto"/>
            </w:tcBorders>
            <w:shd w:val="clear" w:color="auto" w:fill="auto"/>
            <w:noWrap/>
            <w:vAlign w:val="center"/>
            <w:hideMark/>
          </w:tcPr>
          <w:p w14:paraId="624351E6"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r>
      <w:tr w:rsidR="00FB076A" w:rsidRPr="005C255C" w14:paraId="3F361959" w14:textId="77777777" w:rsidTr="00FB076A">
        <w:trPr>
          <w:trHeight w:val="900"/>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4CF977D5" w14:textId="5AF986B3" w:rsidR="005C255C" w:rsidRPr="005C255C" w:rsidRDefault="005C255C" w:rsidP="005C255C">
            <w:pPr>
              <w:spacing w:after="0" w:line="240" w:lineRule="auto"/>
              <w:jc w:val="center"/>
              <w:rPr>
                <w:rFonts w:ascii="Times New Roman" w:eastAsia="Times New Roman" w:hAnsi="Times New Roman" w:cs="Times New Roman"/>
                <w:bCs/>
                <w:color w:val="000000"/>
                <w:lang w:eastAsia="pt-BR"/>
              </w:rPr>
            </w:pPr>
            <w:r w:rsidRPr="00FB076A">
              <w:rPr>
                <w:rFonts w:ascii="Times New Roman" w:eastAsia="Times New Roman" w:hAnsi="Times New Roman" w:cs="Times New Roman"/>
                <w:bCs/>
                <w:color w:val="000000"/>
                <w:lang w:eastAsia="pt-BR"/>
              </w:rPr>
              <w:t>Comunidades Locais</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70BFC"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413-2</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71381B7"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Operações com impactos negativos significativos reais e potenciais nas comunidades locais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26401AE"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1A12C88" w14:textId="77777777" w:rsidR="005C255C" w:rsidRPr="005C255C" w:rsidRDefault="005C255C" w:rsidP="005C255C">
            <w:pPr>
              <w:spacing w:after="0" w:line="240" w:lineRule="auto"/>
              <w:jc w:val="center"/>
              <w:rPr>
                <w:rFonts w:ascii="Times New Roman" w:eastAsia="Times New Roman" w:hAnsi="Times New Roman" w:cs="Times New Roman"/>
                <w:color w:val="000000"/>
                <w:lang w:eastAsia="pt-BR"/>
              </w:rPr>
            </w:pPr>
            <w:r w:rsidRPr="005C255C">
              <w:rPr>
                <w:rFonts w:ascii="Times New Roman" w:eastAsia="Times New Roman" w:hAnsi="Times New Roman" w:cs="Times New Roman"/>
                <w:color w:val="000000"/>
                <w:lang w:eastAsia="pt-BR"/>
              </w:rPr>
              <w:t>3,5</w:t>
            </w:r>
          </w:p>
        </w:tc>
      </w:tr>
    </w:tbl>
    <w:p w14:paraId="34585219" w14:textId="6FD7530E" w:rsidR="005C255C" w:rsidRPr="00844761" w:rsidRDefault="00E3547E" w:rsidP="007D0059">
      <w:pPr>
        <w:rPr>
          <w:rFonts w:ascii="Times New Roman" w:hAnsi="Times New Roman" w:cs="Times New Roman"/>
          <w:sz w:val="24"/>
          <w:szCs w:val="24"/>
        </w:rPr>
      </w:pPr>
      <w:r>
        <w:rPr>
          <w:rFonts w:ascii="Times New Roman" w:hAnsi="Times New Roman" w:cs="Times New Roman"/>
          <w:sz w:val="24"/>
          <w:szCs w:val="24"/>
        </w:rPr>
        <w:t>Fonte: Autor (2019).</w:t>
      </w:r>
    </w:p>
    <w:p w14:paraId="5D5CB8EF" w14:textId="3CCB7F43" w:rsidR="005C255C" w:rsidRDefault="005C255C" w:rsidP="00436224">
      <w:pPr>
        <w:rPr>
          <w:rFonts w:ascii="Times New Roman" w:hAnsi="Times New Roman" w:cs="Times New Roman"/>
          <w:sz w:val="24"/>
          <w:szCs w:val="24"/>
        </w:rPr>
      </w:pPr>
    </w:p>
    <w:p w14:paraId="65DE0DB2" w14:textId="12C05622" w:rsidR="00792348" w:rsidRDefault="00792348" w:rsidP="00436224">
      <w:pPr>
        <w:rPr>
          <w:rFonts w:ascii="Times New Roman" w:hAnsi="Times New Roman" w:cs="Times New Roman"/>
          <w:sz w:val="24"/>
          <w:szCs w:val="24"/>
        </w:rPr>
      </w:pPr>
    </w:p>
    <w:p w14:paraId="77B5227A" w14:textId="77777777" w:rsidR="00792348" w:rsidRDefault="00792348" w:rsidP="00436224">
      <w:pPr>
        <w:rPr>
          <w:rFonts w:ascii="Times New Roman" w:hAnsi="Times New Roman" w:cs="Times New Roman"/>
          <w:sz w:val="24"/>
          <w:szCs w:val="24"/>
        </w:rPr>
      </w:pPr>
    </w:p>
    <w:p w14:paraId="559B629E" w14:textId="45232AC1" w:rsidR="00F20AD7" w:rsidRDefault="00F20AD7" w:rsidP="00436224">
      <w:pPr>
        <w:rPr>
          <w:rFonts w:ascii="Times New Roman" w:hAnsi="Times New Roman" w:cs="Times New Roman"/>
          <w:sz w:val="24"/>
          <w:szCs w:val="24"/>
        </w:rPr>
      </w:pPr>
    </w:p>
    <w:p w14:paraId="406536E2" w14:textId="307E52D9" w:rsidR="00F20AD7" w:rsidRPr="00E3547E" w:rsidRDefault="00F20AD7" w:rsidP="00F20AD7">
      <w:pPr>
        <w:rPr>
          <w:rFonts w:ascii="Times New Roman" w:hAnsi="Times New Roman" w:cs="Times New Roman"/>
          <w:szCs w:val="24"/>
        </w:rPr>
      </w:pPr>
      <w:r w:rsidRPr="00E3547E">
        <w:rPr>
          <w:rFonts w:ascii="Times New Roman" w:hAnsi="Times New Roman" w:cs="Times New Roman"/>
          <w:szCs w:val="24"/>
        </w:rPr>
        <w:lastRenderedPageBreak/>
        <w:t xml:space="preserve">Tabela </w:t>
      </w:r>
      <w:r>
        <w:rPr>
          <w:rFonts w:ascii="Times New Roman" w:hAnsi="Times New Roman" w:cs="Times New Roman"/>
          <w:szCs w:val="24"/>
        </w:rPr>
        <w:t>3</w:t>
      </w:r>
      <w:r w:rsidRPr="00E3547E">
        <w:rPr>
          <w:rFonts w:ascii="Times New Roman" w:hAnsi="Times New Roman" w:cs="Times New Roman"/>
          <w:szCs w:val="24"/>
        </w:rPr>
        <w:t xml:space="preserve"> – Indicadores</w:t>
      </w:r>
      <w:r>
        <w:rPr>
          <w:rFonts w:ascii="Times New Roman" w:hAnsi="Times New Roman" w:cs="Times New Roman"/>
          <w:szCs w:val="24"/>
        </w:rPr>
        <w:t xml:space="preserve"> consideram como “obtenção com pouco esforço”</w:t>
      </w:r>
      <w:r w:rsidRPr="00E3547E">
        <w:rPr>
          <w:rFonts w:ascii="Times New Roman" w:hAnsi="Times New Roman" w:cs="Times New Roman"/>
          <w:szCs w:val="24"/>
        </w:rPr>
        <w:t>.</w:t>
      </w:r>
    </w:p>
    <w:tbl>
      <w:tblPr>
        <w:tblW w:w="8500" w:type="dxa"/>
        <w:tblCellMar>
          <w:left w:w="70" w:type="dxa"/>
          <w:right w:w="70" w:type="dxa"/>
        </w:tblCellMar>
        <w:tblLook w:val="04A0" w:firstRow="1" w:lastRow="0" w:firstColumn="1" w:lastColumn="0" w:noHBand="0" w:noVBand="1"/>
      </w:tblPr>
      <w:tblGrid>
        <w:gridCol w:w="1436"/>
        <w:gridCol w:w="996"/>
        <w:gridCol w:w="2940"/>
        <w:gridCol w:w="1668"/>
        <w:gridCol w:w="1460"/>
      </w:tblGrid>
      <w:tr w:rsidR="00F20AD7" w:rsidRPr="00F20AD7" w14:paraId="39D72A00" w14:textId="77777777" w:rsidTr="00F20AD7">
        <w:trPr>
          <w:trHeight w:val="690"/>
        </w:trPr>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AAD2C"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TÓPICO</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250BD"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CÓDIGO</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2EA0681C"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INDICADORES</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5AC6C0FA"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MÉDIA</w:t>
            </w:r>
            <w:r w:rsidRPr="00F20AD7">
              <w:rPr>
                <w:rFonts w:ascii="Times New Roman" w:eastAsia="Times New Roman" w:hAnsi="Times New Roman" w:cs="Times New Roman"/>
                <w:color w:val="000000"/>
                <w:lang w:eastAsia="pt-BR"/>
              </w:rPr>
              <w:br/>
              <w:t>IMPORTÂNCIA</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5E6299D"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MÉDIA</w:t>
            </w:r>
            <w:r w:rsidRPr="00F20AD7">
              <w:rPr>
                <w:rFonts w:ascii="Times New Roman" w:eastAsia="Times New Roman" w:hAnsi="Times New Roman" w:cs="Times New Roman"/>
                <w:color w:val="000000"/>
                <w:lang w:eastAsia="pt-BR"/>
              </w:rPr>
              <w:br/>
              <w:t>INFLUÊNCIA</w:t>
            </w:r>
          </w:p>
        </w:tc>
      </w:tr>
      <w:tr w:rsidR="00F20AD7" w:rsidRPr="00F20AD7" w14:paraId="2DDA8189" w14:textId="77777777" w:rsidTr="00F20AD7">
        <w:trPr>
          <w:trHeight w:val="600"/>
        </w:trPr>
        <w:tc>
          <w:tcPr>
            <w:tcW w:w="1436" w:type="dxa"/>
            <w:vMerge w:val="restart"/>
            <w:tcBorders>
              <w:top w:val="nil"/>
              <w:left w:val="single" w:sz="4" w:space="0" w:color="auto"/>
              <w:right w:val="single" w:sz="4" w:space="0" w:color="auto"/>
            </w:tcBorders>
            <w:shd w:val="clear" w:color="auto" w:fill="auto"/>
            <w:vAlign w:val="center"/>
            <w:hideMark/>
          </w:tcPr>
          <w:p w14:paraId="0DC5E6BA"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Emprego</w:t>
            </w:r>
          </w:p>
          <w:p w14:paraId="0E732429" w14:textId="32142E89"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23EEA6B"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401-1</w:t>
            </w:r>
          </w:p>
        </w:tc>
        <w:tc>
          <w:tcPr>
            <w:tcW w:w="2940" w:type="dxa"/>
            <w:tcBorders>
              <w:top w:val="nil"/>
              <w:left w:val="nil"/>
              <w:bottom w:val="single" w:sz="4" w:space="0" w:color="auto"/>
              <w:right w:val="single" w:sz="4" w:space="0" w:color="auto"/>
            </w:tcBorders>
            <w:shd w:val="clear" w:color="auto" w:fill="auto"/>
            <w:vAlign w:val="center"/>
            <w:hideMark/>
          </w:tcPr>
          <w:p w14:paraId="72B40D8B"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Novas contratações de funcionários e rotatividade de funcionários</w:t>
            </w:r>
          </w:p>
        </w:tc>
        <w:tc>
          <w:tcPr>
            <w:tcW w:w="1668" w:type="dxa"/>
            <w:tcBorders>
              <w:top w:val="nil"/>
              <w:left w:val="nil"/>
              <w:bottom w:val="single" w:sz="4" w:space="0" w:color="auto"/>
              <w:right w:val="single" w:sz="4" w:space="0" w:color="auto"/>
            </w:tcBorders>
            <w:shd w:val="clear" w:color="auto" w:fill="auto"/>
            <w:vAlign w:val="center"/>
            <w:hideMark/>
          </w:tcPr>
          <w:p w14:paraId="00788550"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5</w:t>
            </w:r>
          </w:p>
        </w:tc>
        <w:tc>
          <w:tcPr>
            <w:tcW w:w="1460" w:type="dxa"/>
            <w:tcBorders>
              <w:top w:val="nil"/>
              <w:left w:val="nil"/>
              <w:bottom w:val="single" w:sz="4" w:space="0" w:color="auto"/>
              <w:right w:val="single" w:sz="4" w:space="0" w:color="auto"/>
            </w:tcBorders>
            <w:shd w:val="clear" w:color="auto" w:fill="auto"/>
            <w:noWrap/>
            <w:vAlign w:val="center"/>
            <w:hideMark/>
          </w:tcPr>
          <w:p w14:paraId="2A9EEC43"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3</w:t>
            </w:r>
          </w:p>
        </w:tc>
      </w:tr>
      <w:tr w:rsidR="00F20AD7" w:rsidRPr="00F20AD7" w14:paraId="12CBCA8B" w14:textId="77777777" w:rsidTr="00F20AD7">
        <w:trPr>
          <w:trHeight w:val="330"/>
        </w:trPr>
        <w:tc>
          <w:tcPr>
            <w:tcW w:w="1436" w:type="dxa"/>
            <w:vMerge/>
            <w:tcBorders>
              <w:left w:val="single" w:sz="4" w:space="0" w:color="auto"/>
              <w:bottom w:val="single" w:sz="4" w:space="0" w:color="auto"/>
              <w:right w:val="single" w:sz="4" w:space="0" w:color="auto"/>
            </w:tcBorders>
            <w:shd w:val="clear" w:color="auto" w:fill="auto"/>
            <w:vAlign w:val="center"/>
            <w:hideMark/>
          </w:tcPr>
          <w:p w14:paraId="32A836C8" w14:textId="159199CC"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A55DB"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401-3</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10CCA7CA"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Licença parental</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164D9793"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9BC95CE"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2,5</w:t>
            </w:r>
          </w:p>
        </w:tc>
      </w:tr>
      <w:tr w:rsidR="00F20AD7" w:rsidRPr="00F20AD7" w14:paraId="77193AF0" w14:textId="77777777" w:rsidTr="00F20AD7">
        <w:trPr>
          <w:trHeight w:val="960"/>
        </w:trPr>
        <w:tc>
          <w:tcPr>
            <w:tcW w:w="1436" w:type="dxa"/>
            <w:tcBorders>
              <w:top w:val="nil"/>
              <w:left w:val="single" w:sz="4" w:space="0" w:color="auto"/>
              <w:bottom w:val="single" w:sz="4" w:space="0" w:color="auto"/>
              <w:right w:val="single" w:sz="4" w:space="0" w:color="auto"/>
            </w:tcBorders>
            <w:shd w:val="clear" w:color="auto" w:fill="auto"/>
            <w:vAlign w:val="center"/>
            <w:hideMark/>
          </w:tcPr>
          <w:p w14:paraId="2F25EDA5"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Gestão das Relações Trabalhistas</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D1AA0CA"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402-1</w:t>
            </w:r>
          </w:p>
        </w:tc>
        <w:tc>
          <w:tcPr>
            <w:tcW w:w="2940" w:type="dxa"/>
            <w:tcBorders>
              <w:top w:val="nil"/>
              <w:left w:val="nil"/>
              <w:bottom w:val="single" w:sz="4" w:space="0" w:color="auto"/>
              <w:right w:val="single" w:sz="4" w:space="0" w:color="auto"/>
            </w:tcBorders>
            <w:shd w:val="clear" w:color="auto" w:fill="auto"/>
            <w:vAlign w:val="center"/>
            <w:hideMark/>
          </w:tcPr>
          <w:p w14:paraId="61975B05"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Prazos mínimos de aviso prévio em relação a mudanças operacionais</w:t>
            </w:r>
          </w:p>
        </w:tc>
        <w:tc>
          <w:tcPr>
            <w:tcW w:w="1668" w:type="dxa"/>
            <w:tcBorders>
              <w:top w:val="nil"/>
              <w:left w:val="nil"/>
              <w:bottom w:val="single" w:sz="4" w:space="0" w:color="auto"/>
              <w:right w:val="single" w:sz="4" w:space="0" w:color="auto"/>
            </w:tcBorders>
            <w:shd w:val="clear" w:color="auto" w:fill="auto"/>
            <w:vAlign w:val="center"/>
            <w:hideMark/>
          </w:tcPr>
          <w:p w14:paraId="068BAF67"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4,5</w:t>
            </w:r>
          </w:p>
        </w:tc>
        <w:tc>
          <w:tcPr>
            <w:tcW w:w="1460" w:type="dxa"/>
            <w:tcBorders>
              <w:top w:val="nil"/>
              <w:left w:val="nil"/>
              <w:bottom w:val="single" w:sz="4" w:space="0" w:color="auto"/>
              <w:right w:val="single" w:sz="4" w:space="0" w:color="auto"/>
            </w:tcBorders>
            <w:shd w:val="clear" w:color="auto" w:fill="auto"/>
            <w:noWrap/>
            <w:vAlign w:val="center"/>
            <w:hideMark/>
          </w:tcPr>
          <w:p w14:paraId="37D4BB11"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3,5</w:t>
            </w:r>
          </w:p>
        </w:tc>
      </w:tr>
      <w:tr w:rsidR="00F20AD7" w:rsidRPr="00F20AD7" w14:paraId="7A800E9F" w14:textId="77777777" w:rsidTr="00F20AD7">
        <w:trPr>
          <w:trHeight w:val="600"/>
        </w:trPr>
        <w:tc>
          <w:tcPr>
            <w:tcW w:w="1436" w:type="dxa"/>
            <w:vMerge w:val="restart"/>
            <w:tcBorders>
              <w:top w:val="single" w:sz="4" w:space="0" w:color="auto"/>
              <w:left w:val="single" w:sz="4" w:space="0" w:color="auto"/>
              <w:right w:val="single" w:sz="4" w:space="0" w:color="auto"/>
            </w:tcBorders>
            <w:shd w:val="clear" w:color="auto" w:fill="auto"/>
            <w:vAlign w:val="center"/>
            <w:hideMark/>
          </w:tcPr>
          <w:p w14:paraId="55E2F3D3"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Diversidade e Igualdade de Oportunidades</w:t>
            </w:r>
          </w:p>
          <w:p w14:paraId="1DF6F922" w14:textId="4B49FA89"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04F37"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405-1</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3AABBDDC"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Diversidade de órgãos de governança e funcionários</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699F6255"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28C46AD"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2</w:t>
            </w:r>
          </w:p>
        </w:tc>
      </w:tr>
      <w:tr w:rsidR="00F20AD7" w:rsidRPr="00F20AD7" w14:paraId="3CAB8DB5" w14:textId="77777777" w:rsidTr="00F20AD7">
        <w:trPr>
          <w:trHeight w:val="615"/>
        </w:trPr>
        <w:tc>
          <w:tcPr>
            <w:tcW w:w="1436" w:type="dxa"/>
            <w:vMerge/>
            <w:tcBorders>
              <w:left w:val="single" w:sz="4" w:space="0" w:color="auto"/>
              <w:bottom w:val="single" w:sz="4" w:space="0" w:color="auto"/>
              <w:right w:val="single" w:sz="4" w:space="0" w:color="auto"/>
            </w:tcBorders>
            <w:shd w:val="clear" w:color="auto" w:fill="auto"/>
            <w:vAlign w:val="center"/>
            <w:hideMark/>
          </w:tcPr>
          <w:p w14:paraId="1DBDD74F" w14:textId="69D61B51"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6F9BAC2"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405-2</w:t>
            </w:r>
          </w:p>
        </w:tc>
        <w:tc>
          <w:tcPr>
            <w:tcW w:w="2940" w:type="dxa"/>
            <w:tcBorders>
              <w:top w:val="nil"/>
              <w:left w:val="nil"/>
              <w:bottom w:val="single" w:sz="4" w:space="0" w:color="auto"/>
              <w:right w:val="single" w:sz="4" w:space="0" w:color="auto"/>
            </w:tcBorders>
            <w:shd w:val="clear" w:color="auto" w:fill="auto"/>
            <w:vAlign w:val="center"/>
            <w:hideMark/>
          </w:tcPr>
          <w:p w14:paraId="057E5BC7"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Taxa de salário básico e remuneração de mulheres para homens</w:t>
            </w:r>
          </w:p>
        </w:tc>
        <w:tc>
          <w:tcPr>
            <w:tcW w:w="1668" w:type="dxa"/>
            <w:tcBorders>
              <w:top w:val="nil"/>
              <w:left w:val="nil"/>
              <w:bottom w:val="single" w:sz="4" w:space="0" w:color="auto"/>
              <w:right w:val="single" w:sz="4" w:space="0" w:color="auto"/>
            </w:tcBorders>
            <w:shd w:val="clear" w:color="auto" w:fill="auto"/>
            <w:vAlign w:val="center"/>
            <w:hideMark/>
          </w:tcPr>
          <w:p w14:paraId="5B9396B7"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w:t>
            </w:r>
          </w:p>
        </w:tc>
        <w:tc>
          <w:tcPr>
            <w:tcW w:w="1460" w:type="dxa"/>
            <w:tcBorders>
              <w:top w:val="nil"/>
              <w:left w:val="nil"/>
              <w:bottom w:val="single" w:sz="4" w:space="0" w:color="auto"/>
              <w:right w:val="single" w:sz="4" w:space="0" w:color="auto"/>
            </w:tcBorders>
            <w:shd w:val="clear" w:color="auto" w:fill="auto"/>
            <w:noWrap/>
            <w:vAlign w:val="center"/>
            <w:hideMark/>
          </w:tcPr>
          <w:p w14:paraId="4809D7E0"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2</w:t>
            </w:r>
          </w:p>
        </w:tc>
      </w:tr>
      <w:tr w:rsidR="00F20AD7" w:rsidRPr="00F20AD7" w14:paraId="184DE311" w14:textId="77777777" w:rsidTr="00F20AD7">
        <w:trPr>
          <w:trHeight w:val="915"/>
        </w:trPr>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830B9"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Trabalho Infantil</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1E61F"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408-1</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038626F4"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Operações e fornecedores com risco significativo de ocorrência de trabalho infantil</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4C912380"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70BBC90"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3</w:t>
            </w:r>
          </w:p>
        </w:tc>
      </w:tr>
      <w:tr w:rsidR="00F20AD7" w:rsidRPr="00F20AD7" w14:paraId="4794FD4B" w14:textId="77777777" w:rsidTr="00F20AD7">
        <w:trPr>
          <w:trHeight w:val="960"/>
        </w:trPr>
        <w:tc>
          <w:tcPr>
            <w:tcW w:w="1436" w:type="dxa"/>
            <w:tcBorders>
              <w:top w:val="nil"/>
              <w:left w:val="single" w:sz="4" w:space="0" w:color="auto"/>
              <w:bottom w:val="single" w:sz="4" w:space="0" w:color="auto"/>
              <w:right w:val="single" w:sz="4" w:space="0" w:color="auto"/>
            </w:tcBorders>
            <w:shd w:val="clear" w:color="auto" w:fill="auto"/>
            <w:vAlign w:val="center"/>
            <w:hideMark/>
          </w:tcPr>
          <w:p w14:paraId="7F0CB54D"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Trabalho Forçado ou Compulsório</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259438AB"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409-1</w:t>
            </w:r>
          </w:p>
        </w:tc>
        <w:tc>
          <w:tcPr>
            <w:tcW w:w="2940" w:type="dxa"/>
            <w:tcBorders>
              <w:top w:val="nil"/>
              <w:left w:val="nil"/>
              <w:bottom w:val="single" w:sz="4" w:space="0" w:color="auto"/>
              <w:right w:val="single" w:sz="4" w:space="0" w:color="auto"/>
            </w:tcBorders>
            <w:shd w:val="clear" w:color="auto" w:fill="auto"/>
            <w:vAlign w:val="center"/>
            <w:hideMark/>
          </w:tcPr>
          <w:p w14:paraId="424ECEF7"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Operações e fornecedores em risco significativo de ocorrência de trabalho forçado ou compulsório</w:t>
            </w:r>
          </w:p>
        </w:tc>
        <w:tc>
          <w:tcPr>
            <w:tcW w:w="1668" w:type="dxa"/>
            <w:tcBorders>
              <w:top w:val="nil"/>
              <w:left w:val="nil"/>
              <w:bottom w:val="single" w:sz="4" w:space="0" w:color="auto"/>
              <w:right w:val="single" w:sz="4" w:space="0" w:color="auto"/>
            </w:tcBorders>
            <w:shd w:val="clear" w:color="auto" w:fill="auto"/>
            <w:vAlign w:val="center"/>
            <w:hideMark/>
          </w:tcPr>
          <w:p w14:paraId="6466A136"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4,5</w:t>
            </w:r>
          </w:p>
        </w:tc>
        <w:tc>
          <w:tcPr>
            <w:tcW w:w="1460" w:type="dxa"/>
            <w:tcBorders>
              <w:top w:val="nil"/>
              <w:left w:val="nil"/>
              <w:bottom w:val="single" w:sz="4" w:space="0" w:color="auto"/>
              <w:right w:val="single" w:sz="4" w:space="0" w:color="auto"/>
            </w:tcBorders>
            <w:shd w:val="clear" w:color="auto" w:fill="auto"/>
            <w:noWrap/>
            <w:vAlign w:val="center"/>
            <w:hideMark/>
          </w:tcPr>
          <w:p w14:paraId="50437965"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3</w:t>
            </w:r>
          </w:p>
        </w:tc>
      </w:tr>
      <w:tr w:rsidR="00F20AD7" w:rsidRPr="00F20AD7" w14:paraId="734560AA" w14:textId="77777777" w:rsidTr="00F20AD7">
        <w:trPr>
          <w:trHeight w:val="645"/>
        </w:trPr>
        <w:tc>
          <w:tcPr>
            <w:tcW w:w="1436" w:type="dxa"/>
            <w:tcBorders>
              <w:top w:val="nil"/>
              <w:left w:val="single" w:sz="4" w:space="0" w:color="auto"/>
              <w:bottom w:val="single" w:sz="4" w:space="0" w:color="auto"/>
              <w:right w:val="single" w:sz="4" w:space="0" w:color="auto"/>
            </w:tcBorders>
            <w:shd w:val="clear" w:color="auto" w:fill="auto"/>
            <w:vAlign w:val="center"/>
            <w:hideMark/>
          </w:tcPr>
          <w:p w14:paraId="39C60BC6"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Práticas de segurança</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DBE897C"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410-1</w:t>
            </w:r>
          </w:p>
        </w:tc>
        <w:tc>
          <w:tcPr>
            <w:tcW w:w="2940" w:type="dxa"/>
            <w:tcBorders>
              <w:top w:val="nil"/>
              <w:left w:val="nil"/>
              <w:bottom w:val="single" w:sz="4" w:space="0" w:color="auto"/>
              <w:right w:val="single" w:sz="4" w:space="0" w:color="auto"/>
            </w:tcBorders>
            <w:shd w:val="clear" w:color="auto" w:fill="auto"/>
            <w:vAlign w:val="center"/>
            <w:hideMark/>
          </w:tcPr>
          <w:p w14:paraId="11AD6318"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Pessoal de segurança treinado em políticas ou procedimentos de direitos humanos</w:t>
            </w:r>
          </w:p>
        </w:tc>
        <w:tc>
          <w:tcPr>
            <w:tcW w:w="1668" w:type="dxa"/>
            <w:tcBorders>
              <w:top w:val="nil"/>
              <w:left w:val="nil"/>
              <w:bottom w:val="single" w:sz="4" w:space="0" w:color="auto"/>
              <w:right w:val="single" w:sz="4" w:space="0" w:color="auto"/>
            </w:tcBorders>
            <w:shd w:val="clear" w:color="auto" w:fill="auto"/>
            <w:vAlign w:val="center"/>
            <w:hideMark/>
          </w:tcPr>
          <w:p w14:paraId="43BF4BBD"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w:t>
            </w:r>
          </w:p>
        </w:tc>
        <w:tc>
          <w:tcPr>
            <w:tcW w:w="1460" w:type="dxa"/>
            <w:tcBorders>
              <w:top w:val="nil"/>
              <w:left w:val="nil"/>
              <w:bottom w:val="single" w:sz="4" w:space="0" w:color="auto"/>
              <w:right w:val="single" w:sz="4" w:space="0" w:color="auto"/>
            </w:tcBorders>
            <w:shd w:val="clear" w:color="auto" w:fill="auto"/>
            <w:noWrap/>
            <w:vAlign w:val="center"/>
            <w:hideMark/>
          </w:tcPr>
          <w:p w14:paraId="1CC95818"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2</w:t>
            </w:r>
          </w:p>
        </w:tc>
      </w:tr>
      <w:tr w:rsidR="00F20AD7" w:rsidRPr="00F20AD7" w14:paraId="3B083A90" w14:textId="77777777" w:rsidTr="00F20AD7">
        <w:trPr>
          <w:trHeight w:val="600"/>
        </w:trPr>
        <w:tc>
          <w:tcPr>
            <w:tcW w:w="1436" w:type="dxa"/>
            <w:tcBorders>
              <w:top w:val="single" w:sz="4" w:space="0" w:color="auto"/>
              <w:left w:val="single" w:sz="4" w:space="0" w:color="auto"/>
              <w:bottom w:val="nil"/>
              <w:right w:val="single" w:sz="4" w:space="0" w:color="auto"/>
            </w:tcBorders>
            <w:shd w:val="clear" w:color="auto" w:fill="auto"/>
            <w:vAlign w:val="center"/>
            <w:hideMark/>
          </w:tcPr>
          <w:p w14:paraId="479A52B1"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Comunidades locais</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330BD"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413-1</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26516D5F"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Operações com envolvimento da comunidade local, avaliações de impacto e programas de desenvolvimento</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1CDD9D85"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CF0C025"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3,5</w:t>
            </w:r>
          </w:p>
        </w:tc>
      </w:tr>
      <w:tr w:rsidR="00F20AD7" w:rsidRPr="00F20AD7" w14:paraId="1FBC9B0D" w14:textId="77777777" w:rsidTr="00F20AD7">
        <w:trPr>
          <w:trHeight w:val="900"/>
        </w:trPr>
        <w:tc>
          <w:tcPr>
            <w:tcW w:w="1436" w:type="dxa"/>
            <w:vMerge w:val="restart"/>
            <w:tcBorders>
              <w:top w:val="single" w:sz="4" w:space="0" w:color="auto"/>
              <w:left w:val="single" w:sz="4" w:space="0" w:color="auto"/>
              <w:right w:val="single" w:sz="4" w:space="0" w:color="auto"/>
            </w:tcBorders>
            <w:shd w:val="clear" w:color="auto" w:fill="auto"/>
            <w:vAlign w:val="center"/>
            <w:hideMark/>
          </w:tcPr>
          <w:p w14:paraId="557B040D" w14:textId="77777777" w:rsidR="00F20AD7" w:rsidRPr="00F20AD7" w:rsidRDefault="00F20AD7" w:rsidP="00F20AD7">
            <w:pPr>
              <w:spacing w:after="0" w:line="240" w:lineRule="auto"/>
              <w:jc w:val="center"/>
              <w:rPr>
                <w:rFonts w:ascii="Times New Roman" w:eastAsia="Times New Roman" w:hAnsi="Times New Roman" w:cs="Times New Roman"/>
                <w:lang w:eastAsia="pt-BR"/>
              </w:rPr>
            </w:pPr>
            <w:r w:rsidRPr="00F20AD7">
              <w:rPr>
                <w:rFonts w:ascii="Times New Roman" w:eastAsia="Times New Roman" w:hAnsi="Times New Roman" w:cs="Times New Roman"/>
                <w:lang w:eastAsia="pt-BR"/>
              </w:rPr>
              <w:t>Saúde e Segurança do Cliente</w:t>
            </w:r>
          </w:p>
          <w:p w14:paraId="45BB682D" w14:textId="701D3F85" w:rsidR="00F20AD7" w:rsidRPr="00F20AD7" w:rsidRDefault="00F20AD7" w:rsidP="00F20AD7">
            <w:pPr>
              <w:spacing w:after="0" w:line="240" w:lineRule="auto"/>
              <w:jc w:val="center"/>
              <w:rPr>
                <w:rFonts w:ascii="Times New Roman" w:eastAsia="Times New Roman" w:hAnsi="Times New Roman" w:cs="Times New Roman"/>
                <w:lang w:eastAsia="pt-BR"/>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85339"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416-1</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0BBD997C"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Avaliação dos impactos na saúde e segurança de categorias de produtos e serviços</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03B5F37B"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64A6975"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4,5</w:t>
            </w:r>
          </w:p>
        </w:tc>
      </w:tr>
      <w:tr w:rsidR="00F20AD7" w:rsidRPr="00F20AD7" w14:paraId="5550182A" w14:textId="77777777" w:rsidTr="00F20AD7">
        <w:trPr>
          <w:trHeight w:val="915"/>
        </w:trPr>
        <w:tc>
          <w:tcPr>
            <w:tcW w:w="1436" w:type="dxa"/>
            <w:vMerge/>
            <w:tcBorders>
              <w:left w:val="single" w:sz="4" w:space="0" w:color="auto"/>
              <w:bottom w:val="single" w:sz="4" w:space="0" w:color="auto"/>
              <w:right w:val="single" w:sz="4" w:space="0" w:color="auto"/>
            </w:tcBorders>
            <w:shd w:val="clear" w:color="auto" w:fill="auto"/>
            <w:vAlign w:val="center"/>
            <w:hideMark/>
          </w:tcPr>
          <w:p w14:paraId="21950AC8" w14:textId="15AAD35B" w:rsidR="00F20AD7" w:rsidRPr="00F20AD7" w:rsidRDefault="00F20AD7" w:rsidP="00F20AD7">
            <w:pPr>
              <w:spacing w:after="0" w:line="240" w:lineRule="auto"/>
              <w:jc w:val="center"/>
              <w:rPr>
                <w:rFonts w:ascii="Times New Roman" w:eastAsia="Times New Roman" w:hAnsi="Times New Roman" w:cs="Times New Roman"/>
                <w:lang w:eastAsia="pt-BR"/>
              </w:rPr>
            </w:pP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DCB51F3"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416-2</w:t>
            </w:r>
          </w:p>
        </w:tc>
        <w:tc>
          <w:tcPr>
            <w:tcW w:w="2940" w:type="dxa"/>
            <w:tcBorders>
              <w:top w:val="nil"/>
              <w:left w:val="nil"/>
              <w:bottom w:val="single" w:sz="4" w:space="0" w:color="auto"/>
              <w:right w:val="single" w:sz="4" w:space="0" w:color="auto"/>
            </w:tcBorders>
            <w:shd w:val="clear" w:color="auto" w:fill="auto"/>
            <w:vAlign w:val="center"/>
            <w:hideMark/>
          </w:tcPr>
          <w:p w14:paraId="2C13D96E"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Incidentes de não conformidade relativos a impactos na saúde e segurança de produtos e serviços</w:t>
            </w:r>
          </w:p>
        </w:tc>
        <w:tc>
          <w:tcPr>
            <w:tcW w:w="1668" w:type="dxa"/>
            <w:tcBorders>
              <w:top w:val="nil"/>
              <w:left w:val="nil"/>
              <w:bottom w:val="single" w:sz="4" w:space="0" w:color="auto"/>
              <w:right w:val="single" w:sz="4" w:space="0" w:color="auto"/>
            </w:tcBorders>
            <w:shd w:val="clear" w:color="auto" w:fill="auto"/>
            <w:vAlign w:val="center"/>
            <w:hideMark/>
          </w:tcPr>
          <w:p w14:paraId="10891812"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5</w:t>
            </w:r>
          </w:p>
        </w:tc>
        <w:tc>
          <w:tcPr>
            <w:tcW w:w="1460" w:type="dxa"/>
            <w:tcBorders>
              <w:top w:val="nil"/>
              <w:left w:val="nil"/>
              <w:bottom w:val="single" w:sz="4" w:space="0" w:color="auto"/>
              <w:right w:val="single" w:sz="4" w:space="0" w:color="auto"/>
            </w:tcBorders>
            <w:shd w:val="clear" w:color="auto" w:fill="auto"/>
            <w:noWrap/>
            <w:vAlign w:val="center"/>
            <w:hideMark/>
          </w:tcPr>
          <w:p w14:paraId="766D2C79"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5</w:t>
            </w:r>
          </w:p>
        </w:tc>
      </w:tr>
      <w:tr w:rsidR="00F20AD7" w:rsidRPr="00F20AD7" w14:paraId="48F72134" w14:textId="77777777" w:rsidTr="00F20AD7">
        <w:trPr>
          <w:trHeight w:val="600"/>
        </w:trPr>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BE6FC" w14:textId="2D1AC4C8" w:rsidR="00F20AD7" w:rsidRPr="00F20AD7" w:rsidRDefault="00F20AD7" w:rsidP="00F20AD7">
            <w:pPr>
              <w:spacing w:after="0" w:line="240" w:lineRule="auto"/>
              <w:jc w:val="center"/>
              <w:rPr>
                <w:rFonts w:ascii="Times New Roman" w:eastAsia="Times New Roman" w:hAnsi="Times New Roman" w:cs="Times New Roman"/>
                <w:bCs/>
                <w:lang w:eastAsia="pt-BR"/>
              </w:rPr>
            </w:pPr>
            <w:r w:rsidRPr="00F20AD7">
              <w:rPr>
                <w:rFonts w:ascii="Times New Roman" w:eastAsia="Times New Roman" w:hAnsi="Times New Roman" w:cs="Times New Roman"/>
                <w:bCs/>
                <w:lang w:eastAsia="pt-BR"/>
              </w:rPr>
              <w:t>Marketing e Rotulagem</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948AF"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417-3</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46863438"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Incidentes de não conformidade relativos a comunicações de marketing</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258E2F99"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AC4BF98" w14:textId="77777777" w:rsidR="00F20AD7" w:rsidRPr="00F20AD7" w:rsidRDefault="00F20AD7" w:rsidP="00F20AD7">
            <w:pPr>
              <w:spacing w:after="0" w:line="240" w:lineRule="auto"/>
              <w:jc w:val="center"/>
              <w:rPr>
                <w:rFonts w:ascii="Times New Roman" w:eastAsia="Times New Roman" w:hAnsi="Times New Roman" w:cs="Times New Roman"/>
                <w:color w:val="000000"/>
                <w:lang w:eastAsia="pt-BR"/>
              </w:rPr>
            </w:pPr>
            <w:r w:rsidRPr="00F20AD7">
              <w:rPr>
                <w:rFonts w:ascii="Times New Roman" w:eastAsia="Times New Roman" w:hAnsi="Times New Roman" w:cs="Times New Roman"/>
                <w:color w:val="000000"/>
                <w:lang w:eastAsia="pt-BR"/>
              </w:rPr>
              <w:t>4,5</w:t>
            </w:r>
          </w:p>
        </w:tc>
      </w:tr>
    </w:tbl>
    <w:p w14:paraId="6CFB6FF8" w14:textId="657B2751" w:rsidR="00362745" w:rsidRDefault="00362745" w:rsidP="00436224">
      <w:pPr>
        <w:rPr>
          <w:rFonts w:ascii="Times New Roman" w:hAnsi="Times New Roman" w:cs="Times New Roman"/>
          <w:sz w:val="24"/>
          <w:szCs w:val="24"/>
        </w:rPr>
      </w:pPr>
      <w:r>
        <w:rPr>
          <w:rFonts w:ascii="Times New Roman" w:hAnsi="Times New Roman" w:cs="Times New Roman"/>
          <w:sz w:val="24"/>
          <w:szCs w:val="24"/>
        </w:rPr>
        <w:t>Fonte: Autor (2019).</w:t>
      </w:r>
    </w:p>
    <w:p w14:paraId="40A03035" w14:textId="5C663CAA" w:rsidR="00362745" w:rsidRDefault="00362745" w:rsidP="00436224">
      <w:pPr>
        <w:rPr>
          <w:rFonts w:ascii="Times New Roman" w:hAnsi="Times New Roman" w:cs="Times New Roman"/>
          <w:sz w:val="24"/>
          <w:szCs w:val="24"/>
        </w:rPr>
      </w:pPr>
    </w:p>
    <w:p w14:paraId="379AE816" w14:textId="386E83AE" w:rsidR="002E467B" w:rsidRDefault="002E467B" w:rsidP="00436224">
      <w:pPr>
        <w:rPr>
          <w:rFonts w:ascii="Times New Roman" w:hAnsi="Times New Roman" w:cs="Times New Roman"/>
          <w:sz w:val="24"/>
          <w:szCs w:val="24"/>
        </w:rPr>
      </w:pPr>
      <w:r w:rsidRPr="002E467B">
        <w:rPr>
          <w:rFonts w:ascii="Times New Roman" w:hAnsi="Times New Roman" w:cs="Times New Roman"/>
          <w:sz w:val="24"/>
          <w:szCs w:val="24"/>
        </w:rPr>
        <w:t xml:space="preserve">Excetuando-se os indicadores relacionados à saúde e segurança ocupacional e os que envolvem os clientes da empresa, que demonstraram tanto ser considerados importantes como exercer grande influência nas tomadas de decisões. Percebeu-se, também, que alguns dos indicadores, por falta de conhecimento de sua contribuição social, não são </w:t>
      </w:r>
      <w:r w:rsidRPr="002E467B">
        <w:rPr>
          <w:rFonts w:ascii="Times New Roman" w:hAnsi="Times New Roman" w:cs="Times New Roman"/>
          <w:sz w:val="24"/>
          <w:szCs w:val="24"/>
        </w:rPr>
        <w:lastRenderedPageBreak/>
        <w:t>monitoradas e comunicadas adequadamente. Destacaram-se os indicadores relativos a não discriminação, ao uso de trabalho infantil e trabalho forçado ou compulsório e a diversidade e igualdade de oportunidades, que apesar da importância reconhecida, são poucos influentes nas decisões. Todavia, esses indicadores foram classificados como “obtenção com pouco esforço”.</w:t>
      </w:r>
    </w:p>
    <w:p w14:paraId="4CC66870" w14:textId="11473927" w:rsidR="002E467B" w:rsidRDefault="002E467B" w:rsidP="00436224">
      <w:pPr>
        <w:rPr>
          <w:rFonts w:ascii="Times New Roman" w:hAnsi="Times New Roman" w:cs="Times New Roman"/>
          <w:sz w:val="24"/>
          <w:szCs w:val="24"/>
        </w:rPr>
      </w:pPr>
    </w:p>
    <w:p w14:paraId="72A15F5C" w14:textId="77777777" w:rsidR="002E467B" w:rsidRDefault="002E467B" w:rsidP="00436224">
      <w:pPr>
        <w:rPr>
          <w:rFonts w:ascii="Times New Roman" w:hAnsi="Times New Roman" w:cs="Times New Roman"/>
          <w:b/>
          <w:sz w:val="24"/>
          <w:szCs w:val="24"/>
        </w:rPr>
      </w:pPr>
      <w:r>
        <w:rPr>
          <w:rFonts w:ascii="Times New Roman" w:hAnsi="Times New Roman" w:cs="Times New Roman"/>
          <w:b/>
          <w:sz w:val="24"/>
          <w:szCs w:val="24"/>
        </w:rPr>
        <w:t>CONCLUSÃO</w:t>
      </w:r>
    </w:p>
    <w:p w14:paraId="26BCBD06" w14:textId="77777777" w:rsidR="00E3173E" w:rsidRPr="00E3173E" w:rsidRDefault="00E3173E" w:rsidP="00E3173E">
      <w:pPr>
        <w:rPr>
          <w:rFonts w:ascii="Times New Roman" w:hAnsi="Times New Roman" w:cs="Times New Roman"/>
          <w:sz w:val="24"/>
          <w:szCs w:val="24"/>
        </w:rPr>
      </w:pPr>
      <w:r w:rsidRPr="00E3173E">
        <w:rPr>
          <w:rFonts w:ascii="Times New Roman" w:hAnsi="Times New Roman" w:cs="Times New Roman"/>
          <w:sz w:val="24"/>
          <w:szCs w:val="24"/>
        </w:rPr>
        <w:t>Apesar do tardio interesse pelo aspecto social da sustentabilidade, percebe-se que, através de uma revisão na literatura, encontra-se vários autores preocupados com tal questão. Nas corporações, no entanto, esse conceito ainda não está devidamente difundido, ficando limitado a poucos tópicos, de acordo com a empresa.</w:t>
      </w:r>
    </w:p>
    <w:p w14:paraId="3B6E7735" w14:textId="77777777" w:rsidR="00E3173E" w:rsidRPr="00E3173E" w:rsidRDefault="00E3173E" w:rsidP="00E3173E">
      <w:pPr>
        <w:rPr>
          <w:rFonts w:ascii="Times New Roman" w:hAnsi="Times New Roman" w:cs="Times New Roman"/>
          <w:sz w:val="24"/>
          <w:szCs w:val="24"/>
        </w:rPr>
      </w:pPr>
      <w:r w:rsidRPr="00E3173E">
        <w:rPr>
          <w:rFonts w:ascii="Times New Roman" w:hAnsi="Times New Roman" w:cs="Times New Roman"/>
          <w:sz w:val="24"/>
          <w:szCs w:val="24"/>
        </w:rPr>
        <w:t>Devido à falta de publicações das empresas locais acerca dos seus respectivos relatórios de sustentabilidade, não se podia ter uma noção de quanto esses conceitos, difundidos no mundo acadêmico, são colocados em prática, e levados em consideração, pelas construtoras que atuam na RMR.</w:t>
      </w:r>
    </w:p>
    <w:p w14:paraId="094AED67" w14:textId="77777777" w:rsidR="00E3173E" w:rsidRPr="00E3173E" w:rsidRDefault="00E3173E" w:rsidP="00E3173E">
      <w:pPr>
        <w:rPr>
          <w:rFonts w:ascii="Times New Roman" w:hAnsi="Times New Roman" w:cs="Times New Roman"/>
          <w:sz w:val="24"/>
          <w:szCs w:val="24"/>
        </w:rPr>
      </w:pPr>
      <w:r w:rsidRPr="00E3173E">
        <w:rPr>
          <w:rFonts w:ascii="Times New Roman" w:hAnsi="Times New Roman" w:cs="Times New Roman"/>
          <w:sz w:val="24"/>
          <w:szCs w:val="24"/>
        </w:rPr>
        <w:t>Este trabalho propicia, portanto, um panorama da situação atual das empresas acerca da sustentabilidade social, na mesma medida que apresenta uma grande quantidade de tópicos relacionados ao assunto, que não era de conhecimento dessas empresas. Sendo assim, além de identificar quais indicadores já são utilizados pelas empresas, este trabalho permitiu identificar uma série de potenciais indicadores de sustentabilidade social para serem aplicados no contexto local, de acordo com seu nível de esforço para coleta.</w:t>
      </w:r>
    </w:p>
    <w:p w14:paraId="106EBB4F" w14:textId="77777777" w:rsidR="00E3173E" w:rsidRPr="00E3173E" w:rsidRDefault="00E3173E" w:rsidP="00E3173E">
      <w:pPr>
        <w:rPr>
          <w:rFonts w:ascii="Times New Roman" w:hAnsi="Times New Roman" w:cs="Times New Roman"/>
          <w:sz w:val="24"/>
          <w:szCs w:val="24"/>
        </w:rPr>
      </w:pPr>
      <w:r w:rsidRPr="00E3173E">
        <w:rPr>
          <w:rFonts w:ascii="Times New Roman" w:hAnsi="Times New Roman" w:cs="Times New Roman"/>
          <w:sz w:val="24"/>
          <w:szCs w:val="24"/>
        </w:rPr>
        <w:t>Percebeu-se que a inclusão de indicadores que levam em consideração a segurança e saúde ocupacional e o cliente (usuário final) já eram do interesse das empresas realizarem o controle. No entanto, muitos outros aspectos relacionados à sustentabilidade social são negligenciados pela empresa.</w:t>
      </w:r>
    </w:p>
    <w:p w14:paraId="33D441FC" w14:textId="33EDE34D" w:rsidR="002E467B" w:rsidRDefault="00044436" w:rsidP="002E467B">
      <w:pPr>
        <w:rPr>
          <w:rFonts w:ascii="Times New Roman" w:hAnsi="Times New Roman" w:cs="Times New Roman"/>
          <w:sz w:val="24"/>
          <w:szCs w:val="24"/>
        </w:rPr>
      </w:pPr>
      <w:r>
        <w:rPr>
          <w:rFonts w:ascii="Times New Roman" w:hAnsi="Times New Roman" w:cs="Times New Roman"/>
          <w:sz w:val="24"/>
          <w:szCs w:val="24"/>
        </w:rPr>
        <w:t>S</w:t>
      </w:r>
      <w:r w:rsidR="002E467B" w:rsidRPr="002E467B">
        <w:rPr>
          <w:rFonts w:ascii="Times New Roman" w:hAnsi="Times New Roman" w:cs="Times New Roman"/>
          <w:sz w:val="24"/>
          <w:szCs w:val="24"/>
        </w:rPr>
        <w:t>endo assim,</w:t>
      </w:r>
      <w:r w:rsidR="002E467B">
        <w:rPr>
          <w:rFonts w:ascii="Times New Roman" w:hAnsi="Times New Roman" w:cs="Times New Roman"/>
          <w:sz w:val="24"/>
          <w:szCs w:val="24"/>
        </w:rPr>
        <w:t xml:space="preserve"> esta pesquisa identifica</w:t>
      </w:r>
      <w:r w:rsidR="002E467B" w:rsidRPr="002E467B">
        <w:rPr>
          <w:rFonts w:ascii="Times New Roman" w:hAnsi="Times New Roman" w:cs="Times New Roman"/>
          <w:sz w:val="24"/>
          <w:szCs w:val="24"/>
        </w:rPr>
        <w:t xml:space="preserve"> indicadores</w:t>
      </w:r>
      <w:r w:rsidR="002E467B">
        <w:rPr>
          <w:rFonts w:ascii="Times New Roman" w:hAnsi="Times New Roman" w:cs="Times New Roman"/>
          <w:sz w:val="24"/>
          <w:szCs w:val="24"/>
        </w:rPr>
        <w:t xml:space="preserve"> aplicáveis</w:t>
      </w:r>
      <w:r w:rsidR="002E467B" w:rsidRPr="002E467B">
        <w:rPr>
          <w:rFonts w:ascii="Times New Roman" w:hAnsi="Times New Roman" w:cs="Times New Roman"/>
          <w:sz w:val="24"/>
          <w:szCs w:val="24"/>
        </w:rPr>
        <w:t xml:space="preserve"> importantes, que com sua obtenção e controle, podem exercer maior influência nas tomadas de decisões, tornando as empresas mais comprometidas com o aspecto social da sustentabilidade.</w:t>
      </w:r>
    </w:p>
    <w:p w14:paraId="70F43A3C" w14:textId="71D3D03D" w:rsidR="002E467B" w:rsidRDefault="002E467B" w:rsidP="002E467B">
      <w:pPr>
        <w:rPr>
          <w:rFonts w:ascii="Times New Roman" w:hAnsi="Times New Roman" w:cs="Times New Roman"/>
          <w:sz w:val="24"/>
          <w:szCs w:val="24"/>
        </w:rPr>
      </w:pPr>
    </w:p>
    <w:p w14:paraId="2CE4DE6E" w14:textId="77777777" w:rsidR="00792348" w:rsidRDefault="00792348" w:rsidP="002E467B">
      <w:pPr>
        <w:rPr>
          <w:rFonts w:ascii="Times New Roman" w:hAnsi="Times New Roman" w:cs="Times New Roman"/>
          <w:b/>
          <w:sz w:val="24"/>
          <w:szCs w:val="24"/>
        </w:rPr>
      </w:pPr>
    </w:p>
    <w:p w14:paraId="646AF9E5" w14:textId="465F39E6" w:rsidR="002E467B" w:rsidRDefault="002E467B" w:rsidP="001730CC">
      <w:pPr>
        <w:jc w:val="center"/>
        <w:rPr>
          <w:rFonts w:ascii="Times New Roman" w:hAnsi="Times New Roman" w:cs="Times New Roman"/>
          <w:b/>
          <w:sz w:val="24"/>
          <w:szCs w:val="24"/>
        </w:rPr>
      </w:pPr>
      <w:r w:rsidRPr="005E03C0">
        <w:rPr>
          <w:rFonts w:ascii="Times New Roman" w:hAnsi="Times New Roman" w:cs="Times New Roman"/>
          <w:b/>
          <w:sz w:val="24"/>
          <w:szCs w:val="24"/>
        </w:rPr>
        <w:lastRenderedPageBreak/>
        <w:t>REFERÊNCIAS</w:t>
      </w:r>
    </w:p>
    <w:p w14:paraId="4E3D12C2" w14:textId="77777777" w:rsidR="00002BCF" w:rsidRPr="005E03C0" w:rsidRDefault="00002BCF" w:rsidP="001730CC">
      <w:pPr>
        <w:jc w:val="center"/>
        <w:rPr>
          <w:rFonts w:ascii="Times New Roman" w:hAnsi="Times New Roman" w:cs="Times New Roman"/>
          <w:b/>
          <w:sz w:val="24"/>
          <w:szCs w:val="24"/>
        </w:rPr>
      </w:pPr>
    </w:p>
    <w:p w14:paraId="395A9F85" w14:textId="2799F0E0" w:rsidR="001730CC" w:rsidRPr="00002BCF" w:rsidRDefault="002D2795"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sz w:val="24"/>
          <w:szCs w:val="24"/>
        </w:rPr>
        <w:fldChar w:fldCharType="begin" w:fldLock="1"/>
      </w:r>
      <w:r w:rsidRPr="00002BCF">
        <w:rPr>
          <w:rFonts w:ascii="Times New Roman" w:hAnsi="Times New Roman" w:cs="Times New Roman"/>
          <w:sz w:val="24"/>
          <w:szCs w:val="24"/>
          <w:lang w:val="en-US"/>
        </w:rPr>
        <w:instrText xml:space="preserve">ADDIN Mendeley Bibliography CSL_BIBLIOGRAPHY </w:instrText>
      </w:r>
      <w:r w:rsidRPr="00002BCF">
        <w:rPr>
          <w:rFonts w:ascii="Times New Roman" w:hAnsi="Times New Roman" w:cs="Times New Roman"/>
          <w:sz w:val="24"/>
          <w:szCs w:val="24"/>
        </w:rPr>
        <w:fldChar w:fldCharType="separate"/>
      </w:r>
      <w:r w:rsidR="001730CC" w:rsidRPr="00002BCF">
        <w:rPr>
          <w:rFonts w:ascii="Times New Roman" w:hAnsi="Times New Roman" w:cs="Times New Roman"/>
          <w:noProof/>
          <w:sz w:val="24"/>
          <w:szCs w:val="24"/>
        </w:rPr>
        <w:t>A</w:t>
      </w:r>
      <w:r w:rsidR="00002BCF" w:rsidRPr="00002BCF">
        <w:rPr>
          <w:rFonts w:ascii="Times New Roman" w:hAnsi="Times New Roman" w:cs="Times New Roman"/>
          <w:noProof/>
          <w:sz w:val="24"/>
          <w:szCs w:val="24"/>
        </w:rPr>
        <w:t>zmi</w:t>
      </w:r>
      <w:r w:rsidR="001730CC" w:rsidRPr="00002BCF">
        <w:rPr>
          <w:rFonts w:ascii="Times New Roman" w:hAnsi="Times New Roman" w:cs="Times New Roman"/>
          <w:noProof/>
          <w:sz w:val="24"/>
          <w:szCs w:val="24"/>
        </w:rPr>
        <w:t>, W. N. S. W. M. et al.</w:t>
      </w:r>
      <w:r w:rsidR="00E7031E">
        <w:rPr>
          <w:rFonts w:ascii="Times New Roman" w:hAnsi="Times New Roman" w:cs="Times New Roman"/>
          <w:noProof/>
          <w:sz w:val="24"/>
          <w:szCs w:val="24"/>
        </w:rPr>
        <w:t>, (2018).</w:t>
      </w:r>
      <w:r w:rsidR="001730CC" w:rsidRPr="00002BCF">
        <w:rPr>
          <w:rFonts w:ascii="Times New Roman" w:hAnsi="Times New Roman" w:cs="Times New Roman"/>
          <w:noProof/>
          <w:sz w:val="24"/>
          <w:szCs w:val="24"/>
        </w:rPr>
        <w:t xml:space="preserve"> Housing Developer’s Perspective os Social Sustainability. </w:t>
      </w:r>
      <w:r w:rsidR="001730CC" w:rsidRPr="00002BCF">
        <w:rPr>
          <w:rFonts w:ascii="Times New Roman" w:hAnsi="Times New Roman" w:cs="Times New Roman"/>
          <w:bCs/>
          <w:noProof/>
          <w:sz w:val="24"/>
          <w:szCs w:val="24"/>
        </w:rPr>
        <w:t>Malaysian Construction Research Journal</w:t>
      </w:r>
      <w:r w:rsidR="00E7031E">
        <w:rPr>
          <w:rFonts w:ascii="Times New Roman" w:hAnsi="Times New Roman" w:cs="Times New Roman"/>
          <w:noProof/>
          <w:sz w:val="24"/>
          <w:szCs w:val="24"/>
        </w:rPr>
        <w:t>, v. 3, n. Special Issue 1</w:t>
      </w:r>
      <w:r w:rsidR="001730CC" w:rsidRPr="00002BCF">
        <w:rPr>
          <w:rFonts w:ascii="Times New Roman" w:hAnsi="Times New Roman" w:cs="Times New Roman"/>
          <w:noProof/>
          <w:sz w:val="24"/>
          <w:szCs w:val="24"/>
        </w:rPr>
        <w:t xml:space="preserve">. </w:t>
      </w:r>
    </w:p>
    <w:p w14:paraId="64A687DB" w14:textId="30BBAA03"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B</w:t>
      </w:r>
      <w:r w:rsidR="00002BCF" w:rsidRPr="00673438">
        <w:rPr>
          <w:rFonts w:ascii="Times New Roman" w:hAnsi="Times New Roman" w:cs="Times New Roman"/>
          <w:noProof/>
          <w:sz w:val="24"/>
          <w:szCs w:val="24"/>
          <w:lang w:val="en-US"/>
        </w:rPr>
        <w:t>orrini</w:t>
      </w:r>
      <w:r w:rsidRPr="00673438">
        <w:rPr>
          <w:rFonts w:ascii="Times New Roman" w:hAnsi="Times New Roman" w:cs="Times New Roman"/>
          <w:noProof/>
          <w:sz w:val="24"/>
          <w:szCs w:val="24"/>
          <w:lang w:val="en-US"/>
        </w:rPr>
        <w:t>-F</w:t>
      </w:r>
      <w:r w:rsidR="00002BCF" w:rsidRPr="00673438">
        <w:rPr>
          <w:rFonts w:ascii="Times New Roman" w:hAnsi="Times New Roman" w:cs="Times New Roman"/>
          <w:noProof/>
          <w:sz w:val="24"/>
          <w:szCs w:val="24"/>
          <w:lang w:val="en-US"/>
        </w:rPr>
        <w:t>eyerabend</w:t>
      </w:r>
      <w:r w:rsidRPr="00673438">
        <w:rPr>
          <w:rFonts w:ascii="Times New Roman" w:hAnsi="Times New Roman" w:cs="Times New Roman"/>
          <w:noProof/>
          <w:sz w:val="24"/>
          <w:szCs w:val="24"/>
          <w:lang w:val="en-US"/>
        </w:rPr>
        <w:t>, G</w:t>
      </w:r>
      <w:r w:rsidR="00673438" w:rsidRPr="00673438">
        <w:rPr>
          <w:rFonts w:ascii="Times New Roman" w:hAnsi="Times New Roman" w:cs="Times New Roman"/>
          <w:noProof/>
          <w:sz w:val="24"/>
          <w:szCs w:val="24"/>
          <w:lang w:val="en-US"/>
        </w:rPr>
        <w:t xml:space="preserve">, </w:t>
      </w:r>
      <w:r w:rsidR="00673438">
        <w:rPr>
          <w:rFonts w:ascii="Times New Roman" w:hAnsi="Times New Roman" w:cs="Times New Roman"/>
          <w:noProof/>
          <w:sz w:val="24"/>
          <w:szCs w:val="24"/>
          <w:lang w:val="en-US"/>
        </w:rPr>
        <w:t>(1997).</w:t>
      </w:r>
      <w:r w:rsidRPr="00673438">
        <w:rPr>
          <w:rFonts w:ascii="Times New Roman" w:hAnsi="Times New Roman" w:cs="Times New Roman"/>
          <w:noProof/>
          <w:sz w:val="24"/>
          <w:szCs w:val="24"/>
          <w:lang w:val="en-US"/>
        </w:rPr>
        <w:t xml:space="preserve"> </w:t>
      </w:r>
      <w:r w:rsidRPr="00673438">
        <w:rPr>
          <w:rFonts w:ascii="Times New Roman" w:hAnsi="Times New Roman" w:cs="Times New Roman"/>
          <w:bCs/>
          <w:noProof/>
          <w:sz w:val="24"/>
          <w:szCs w:val="24"/>
          <w:lang w:val="en-US"/>
        </w:rPr>
        <w:t>Beyond Fences: Seeking Social Sustainability in Conservation</w:t>
      </w:r>
      <w:r w:rsidRPr="00673438">
        <w:rPr>
          <w:rFonts w:ascii="Times New Roman" w:hAnsi="Times New Roman" w:cs="Times New Roman"/>
          <w:noProof/>
          <w:sz w:val="24"/>
          <w:szCs w:val="24"/>
          <w:lang w:val="en-US"/>
        </w:rPr>
        <w:t>. v. 1</w:t>
      </w:r>
    </w:p>
    <w:p w14:paraId="63B6D4E4" w14:textId="16DB2309"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F</w:t>
      </w:r>
      <w:r w:rsidR="00002BCF" w:rsidRPr="00673438">
        <w:rPr>
          <w:rFonts w:ascii="Times New Roman" w:hAnsi="Times New Roman" w:cs="Times New Roman"/>
          <w:noProof/>
          <w:sz w:val="24"/>
          <w:szCs w:val="24"/>
          <w:lang w:val="en-US"/>
        </w:rPr>
        <w:t>reeman</w:t>
      </w:r>
      <w:r w:rsidRPr="00673438">
        <w:rPr>
          <w:rFonts w:ascii="Times New Roman" w:hAnsi="Times New Roman" w:cs="Times New Roman"/>
          <w:noProof/>
          <w:sz w:val="24"/>
          <w:szCs w:val="24"/>
          <w:lang w:val="en-US"/>
        </w:rPr>
        <w:t>, M.; B</w:t>
      </w:r>
      <w:r w:rsidR="00002BCF" w:rsidRPr="00673438">
        <w:rPr>
          <w:rFonts w:ascii="Times New Roman" w:hAnsi="Times New Roman" w:cs="Times New Roman"/>
          <w:noProof/>
          <w:sz w:val="24"/>
          <w:szCs w:val="24"/>
          <w:lang w:val="en-US"/>
        </w:rPr>
        <w:t>eale</w:t>
      </w:r>
      <w:r w:rsidR="00673438">
        <w:rPr>
          <w:rFonts w:ascii="Times New Roman" w:hAnsi="Times New Roman" w:cs="Times New Roman"/>
          <w:noProof/>
          <w:sz w:val="24"/>
          <w:szCs w:val="24"/>
          <w:lang w:val="en-US"/>
        </w:rPr>
        <w:t>, P, (1992).</w:t>
      </w:r>
      <w:r w:rsidRPr="00673438">
        <w:rPr>
          <w:rFonts w:ascii="Times New Roman" w:hAnsi="Times New Roman" w:cs="Times New Roman"/>
          <w:noProof/>
          <w:sz w:val="24"/>
          <w:szCs w:val="24"/>
          <w:lang w:val="en-US"/>
        </w:rPr>
        <w:t xml:space="preserve"> Measuring project success. </w:t>
      </w:r>
      <w:r w:rsidRPr="00673438">
        <w:rPr>
          <w:rFonts w:ascii="Times New Roman" w:hAnsi="Times New Roman" w:cs="Times New Roman"/>
          <w:bCs/>
          <w:noProof/>
          <w:sz w:val="24"/>
          <w:szCs w:val="24"/>
          <w:lang w:val="en-US"/>
        </w:rPr>
        <w:t>Project Management Journal</w:t>
      </w:r>
      <w:r w:rsidRPr="00673438">
        <w:rPr>
          <w:rFonts w:ascii="Times New Roman" w:hAnsi="Times New Roman" w:cs="Times New Roman"/>
          <w:noProof/>
          <w:sz w:val="24"/>
          <w:szCs w:val="24"/>
          <w:lang w:val="en-US"/>
        </w:rPr>
        <w:t xml:space="preserve">, v. 23, n. 1, p. 8–17. </w:t>
      </w:r>
    </w:p>
    <w:p w14:paraId="78122416" w14:textId="7BF4F3A9"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w:t>
      </w:r>
      <w:r w:rsidR="00002BCF" w:rsidRPr="00673438">
        <w:rPr>
          <w:rFonts w:ascii="Times New Roman" w:hAnsi="Times New Roman" w:cs="Times New Roman"/>
          <w:noProof/>
          <w:sz w:val="24"/>
          <w:szCs w:val="24"/>
          <w:lang w:val="en-US"/>
        </w:rPr>
        <w:t>il</w:t>
      </w:r>
      <w:r w:rsidR="00673438">
        <w:rPr>
          <w:rFonts w:ascii="Times New Roman" w:hAnsi="Times New Roman" w:cs="Times New Roman"/>
          <w:noProof/>
          <w:sz w:val="24"/>
          <w:szCs w:val="24"/>
          <w:lang w:val="en-US"/>
        </w:rPr>
        <w:t>, A. C, (2002).</w:t>
      </w:r>
      <w:r w:rsidRPr="00673438">
        <w:rPr>
          <w:rFonts w:ascii="Times New Roman" w:hAnsi="Times New Roman" w:cs="Times New Roman"/>
          <w:noProof/>
          <w:sz w:val="24"/>
          <w:szCs w:val="24"/>
          <w:lang w:val="en-US"/>
        </w:rPr>
        <w:t xml:space="preserve"> </w:t>
      </w:r>
      <w:r w:rsidRPr="00673438">
        <w:rPr>
          <w:rFonts w:ascii="Times New Roman" w:hAnsi="Times New Roman" w:cs="Times New Roman"/>
          <w:bCs/>
          <w:noProof/>
          <w:sz w:val="24"/>
          <w:szCs w:val="24"/>
          <w:lang w:val="en-US"/>
        </w:rPr>
        <w:t>Projetos de Pesquisa Como Elaborar</w:t>
      </w:r>
      <w:r w:rsidRPr="00673438">
        <w:rPr>
          <w:rFonts w:ascii="Times New Roman" w:hAnsi="Times New Roman" w:cs="Times New Roman"/>
          <w:noProof/>
          <w:sz w:val="24"/>
          <w:szCs w:val="24"/>
          <w:lang w:val="en-US"/>
        </w:rPr>
        <w:t xml:space="preserve">. </w:t>
      </w:r>
      <w:r w:rsidR="00673438">
        <w:rPr>
          <w:rFonts w:ascii="Times New Roman" w:hAnsi="Times New Roman" w:cs="Times New Roman"/>
          <w:noProof/>
          <w:sz w:val="24"/>
          <w:szCs w:val="24"/>
          <w:lang w:val="en-US"/>
        </w:rPr>
        <w:t>Editora Atlas</w:t>
      </w:r>
      <w:r w:rsidRPr="00673438">
        <w:rPr>
          <w:rFonts w:ascii="Times New Roman" w:hAnsi="Times New Roman" w:cs="Times New Roman"/>
          <w:noProof/>
          <w:sz w:val="24"/>
          <w:szCs w:val="24"/>
          <w:lang w:val="en-US"/>
        </w:rPr>
        <w:t xml:space="preserve">. </w:t>
      </w:r>
    </w:p>
    <w:p w14:paraId="6AFF6A75" w14:textId="065AF3FB"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w:t>
      </w:r>
      <w:r w:rsidR="00002BCF" w:rsidRPr="00673438">
        <w:rPr>
          <w:rFonts w:ascii="Times New Roman" w:hAnsi="Times New Roman" w:cs="Times New Roman"/>
          <w:noProof/>
          <w:sz w:val="24"/>
          <w:szCs w:val="24"/>
          <w:lang w:val="en-US"/>
        </w:rPr>
        <w:t>lobal</w:t>
      </w:r>
      <w:r w:rsidRPr="00673438">
        <w:rPr>
          <w:rFonts w:ascii="Times New Roman" w:hAnsi="Times New Roman" w:cs="Times New Roman"/>
          <w:noProof/>
          <w:sz w:val="24"/>
          <w:szCs w:val="24"/>
          <w:lang w:val="en-US"/>
        </w:rPr>
        <w:t xml:space="preserve"> R</w:t>
      </w:r>
      <w:r w:rsidR="00002BCF" w:rsidRPr="00673438">
        <w:rPr>
          <w:rFonts w:ascii="Times New Roman" w:hAnsi="Times New Roman" w:cs="Times New Roman"/>
          <w:noProof/>
          <w:sz w:val="24"/>
          <w:szCs w:val="24"/>
          <w:lang w:val="en-US"/>
        </w:rPr>
        <w:t>eporting</w:t>
      </w:r>
      <w:r w:rsidRPr="00673438">
        <w:rPr>
          <w:rFonts w:ascii="Times New Roman" w:hAnsi="Times New Roman" w:cs="Times New Roman"/>
          <w:noProof/>
          <w:sz w:val="24"/>
          <w:szCs w:val="24"/>
          <w:lang w:val="en-US"/>
        </w:rPr>
        <w:t xml:space="preserve"> I</w:t>
      </w:r>
      <w:r w:rsidR="00002BCF" w:rsidRPr="00673438">
        <w:rPr>
          <w:rFonts w:ascii="Times New Roman" w:hAnsi="Times New Roman" w:cs="Times New Roman"/>
          <w:noProof/>
          <w:sz w:val="24"/>
          <w:szCs w:val="24"/>
          <w:lang w:val="en-US"/>
        </w:rPr>
        <w:t>nitiative</w:t>
      </w:r>
      <w:r w:rsidR="00673438">
        <w:rPr>
          <w:rFonts w:ascii="Times New Roman" w:hAnsi="Times New Roman" w:cs="Times New Roman"/>
          <w:noProof/>
          <w:sz w:val="24"/>
          <w:szCs w:val="24"/>
          <w:lang w:val="en-US"/>
        </w:rPr>
        <w:t>, (2016a).</w:t>
      </w:r>
      <w:r w:rsidRPr="00673438">
        <w:rPr>
          <w:rFonts w:ascii="Times New Roman" w:hAnsi="Times New Roman" w:cs="Times New Roman"/>
          <w:noProof/>
          <w:sz w:val="24"/>
          <w:szCs w:val="24"/>
          <w:lang w:val="en-US"/>
        </w:rPr>
        <w:t xml:space="preserve"> GRI 401: Employment. </w:t>
      </w:r>
      <w:r w:rsidRPr="00673438">
        <w:rPr>
          <w:rFonts w:ascii="Times New Roman" w:hAnsi="Times New Roman" w:cs="Times New Roman"/>
          <w:bCs/>
          <w:noProof/>
          <w:sz w:val="24"/>
          <w:szCs w:val="24"/>
          <w:lang w:val="en-US"/>
        </w:rPr>
        <w:t>GRI Standards</w:t>
      </w:r>
      <w:r w:rsidRPr="00673438">
        <w:rPr>
          <w:rFonts w:ascii="Times New Roman" w:hAnsi="Times New Roman" w:cs="Times New Roman"/>
          <w:noProof/>
          <w:sz w:val="24"/>
          <w:szCs w:val="24"/>
          <w:lang w:val="en-US"/>
        </w:rPr>
        <w:t xml:space="preserve">. </w:t>
      </w:r>
    </w:p>
    <w:p w14:paraId="63A3FE1E" w14:textId="496A6561"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(2016b).</w:t>
      </w:r>
      <w:r w:rsidR="001730CC" w:rsidRPr="00673438">
        <w:rPr>
          <w:rFonts w:ascii="Times New Roman" w:hAnsi="Times New Roman" w:cs="Times New Roman"/>
          <w:noProof/>
          <w:sz w:val="24"/>
          <w:szCs w:val="24"/>
          <w:lang w:val="en-US"/>
        </w:rPr>
        <w:t xml:space="preserve"> GRI 404: Training and education. </w:t>
      </w:r>
      <w:r w:rsidR="001730CC" w:rsidRPr="00673438">
        <w:rPr>
          <w:rFonts w:ascii="Times New Roman" w:hAnsi="Times New Roman" w:cs="Times New Roman"/>
          <w:bCs/>
          <w:noProof/>
          <w:sz w:val="24"/>
          <w:szCs w:val="24"/>
          <w:lang w:val="en-US"/>
        </w:rPr>
        <w:t>GRI Global</w:t>
      </w:r>
      <w:r w:rsidR="001730CC" w:rsidRPr="00673438">
        <w:rPr>
          <w:rFonts w:ascii="Times New Roman" w:hAnsi="Times New Roman" w:cs="Times New Roman"/>
          <w:noProof/>
          <w:sz w:val="24"/>
          <w:szCs w:val="24"/>
          <w:lang w:val="en-US"/>
        </w:rPr>
        <w:t xml:space="preserve">, v. GRI101, n. 1, p. 13. </w:t>
      </w:r>
    </w:p>
    <w:p w14:paraId="2558A93B" w14:textId="35884FCE"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sidRPr="00673438">
        <w:rPr>
          <w:rFonts w:ascii="Times New Roman" w:hAnsi="Times New Roman" w:cs="Times New Roman"/>
          <w:noProof/>
          <w:sz w:val="24"/>
          <w:szCs w:val="24"/>
          <w:lang w:val="en-US"/>
        </w:rPr>
        <w:t>, (2016c)</w:t>
      </w:r>
      <w:r w:rsidR="00673438">
        <w:rPr>
          <w:rFonts w:ascii="Times New Roman" w:hAnsi="Times New Roman" w:cs="Times New Roman"/>
          <w:noProof/>
          <w:sz w:val="24"/>
          <w:szCs w:val="24"/>
          <w:lang w:val="en-US"/>
        </w:rPr>
        <w:t>.</w:t>
      </w:r>
      <w:r w:rsidR="001730CC" w:rsidRPr="00673438">
        <w:rPr>
          <w:rFonts w:ascii="Times New Roman" w:hAnsi="Times New Roman" w:cs="Times New Roman"/>
          <w:noProof/>
          <w:sz w:val="24"/>
          <w:szCs w:val="24"/>
          <w:lang w:val="en-US"/>
        </w:rPr>
        <w:t xml:space="preserve"> GRI 405: Diversity and equal opportunity.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5560F83A" w14:textId="7C03B6CA"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sidRPr="00673438">
        <w:rPr>
          <w:rFonts w:ascii="Times New Roman" w:hAnsi="Times New Roman" w:cs="Times New Roman"/>
          <w:noProof/>
          <w:sz w:val="24"/>
          <w:szCs w:val="24"/>
          <w:lang w:val="en-US"/>
        </w:rPr>
        <w:t>, (2016d)</w:t>
      </w:r>
      <w:r w:rsidR="00673438">
        <w:rPr>
          <w:rFonts w:ascii="Times New Roman" w:hAnsi="Times New Roman" w:cs="Times New Roman"/>
          <w:noProof/>
          <w:sz w:val="24"/>
          <w:szCs w:val="24"/>
          <w:lang w:val="en-US"/>
        </w:rPr>
        <w:t>.</w:t>
      </w:r>
      <w:r w:rsidR="001730CC" w:rsidRPr="00673438">
        <w:rPr>
          <w:rFonts w:ascii="Times New Roman" w:hAnsi="Times New Roman" w:cs="Times New Roman"/>
          <w:noProof/>
          <w:sz w:val="24"/>
          <w:szCs w:val="24"/>
          <w:lang w:val="en-US"/>
        </w:rPr>
        <w:t xml:space="preserve"> GRI 406: No discrimina</w:t>
      </w:r>
      <w:r w:rsidR="00673438" w:rsidRPr="00673438">
        <w:rPr>
          <w:rFonts w:ascii="Times New Roman" w:hAnsi="Times New Roman" w:cs="Times New Roman"/>
          <w:noProof/>
          <w:sz w:val="24"/>
          <w:szCs w:val="24"/>
          <w:lang w:val="en-US"/>
        </w:rPr>
        <w:t>tion</w:t>
      </w:r>
      <w:r w:rsidR="001730CC" w:rsidRPr="00673438">
        <w:rPr>
          <w:rFonts w:ascii="Times New Roman" w:hAnsi="Times New Roman" w:cs="Times New Roman"/>
          <w:noProof/>
          <w:sz w:val="24"/>
          <w:szCs w:val="24"/>
          <w:lang w:val="en-US"/>
        </w:rPr>
        <w:t xml:space="preserve">. </w:t>
      </w:r>
    </w:p>
    <w:p w14:paraId="041FA0F7" w14:textId="6D0F38D2"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sidRPr="00673438">
        <w:rPr>
          <w:rFonts w:ascii="Times New Roman" w:hAnsi="Times New Roman" w:cs="Times New Roman"/>
          <w:noProof/>
          <w:sz w:val="24"/>
          <w:szCs w:val="24"/>
          <w:lang w:val="en-US"/>
        </w:rPr>
        <w:t>, (2016e)</w:t>
      </w:r>
      <w:r w:rsidR="00673438">
        <w:rPr>
          <w:rFonts w:ascii="Times New Roman" w:hAnsi="Times New Roman" w:cs="Times New Roman"/>
          <w:noProof/>
          <w:sz w:val="24"/>
          <w:szCs w:val="24"/>
          <w:lang w:val="en-US"/>
        </w:rPr>
        <w:t>.</w:t>
      </w:r>
      <w:r w:rsidR="001730CC" w:rsidRPr="00673438">
        <w:rPr>
          <w:rFonts w:ascii="Times New Roman" w:hAnsi="Times New Roman" w:cs="Times New Roman"/>
          <w:noProof/>
          <w:sz w:val="24"/>
          <w:szCs w:val="24"/>
          <w:lang w:val="en-US"/>
        </w:rPr>
        <w:t xml:space="preserve"> GRI 407: Freedom of association and collective bargaining.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4C6ED9AE" w14:textId="2140A80F"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sidRPr="00673438">
        <w:rPr>
          <w:rFonts w:ascii="Times New Roman" w:hAnsi="Times New Roman" w:cs="Times New Roman"/>
          <w:noProof/>
          <w:sz w:val="24"/>
          <w:szCs w:val="24"/>
          <w:lang w:val="en-US"/>
        </w:rPr>
        <w:t>, (2016f).</w:t>
      </w:r>
      <w:r w:rsidR="001730CC" w:rsidRPr="00673438">
        <w:rPr>
          <w:rFonts w:ascii="Times New Roman" w:hAnsi="Times New Roman" w:cs="Times New Roman"/>
          <w:noProof/>
          <w:sz w:val="24"/>
          <w:szCs w:val="24"/>
          <w:lang w:val="en-US"/>
        </w:rPr>
        <w:t xml:space="preserve"> GRI 408: Child labor.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53A1B9A8" w14:textId="69DA4BFE"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(2016g).</w:t>
      </w:r>
      <w:r w:rsidR="001730CC" w:rsidRPr="00673438">
        <w:rPr>
          <w:rFonts w:ascii="Times New Roman" w:hAnsi="Times New Roman" w:cs="Times New Roman"/>
          <w:noProof/>
          <w:sz w:val="24"/>
          <w:szCs w:val="24"/>
          <w:lang w:val="en-US"/>
        </w:rPr>
        <w:t xml:space="preserve"> GRI 409: Forced or compulsory labor.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7E5C4CE0" w14:textId="6E9AEB72"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(2016h).</w:t>
      </w:r>
      <w:r w:rsidR="001730CC" w:rsidRPr="00673438">
        <w:rPr>
          <w:rFonts w:ascii="Times New Roman" w:hAnsi="Times New Roman" w:cs="Times New Roman"/>
          <w:noProof/>
          <w:sz w:val="24"/>
          <w:szCs w:val="24"/>
          <w:lang w:val="en-US"/>
        </w:rPr>
        <w:t xml:space="preserve"> GRI 410: Security practices. </w:t>
      </w:r>
      <w:r w:rsidR="001730CC" w:rsidRPr="00673438">
        <w:rPr>
          <w:rFonts w:ascii="Times New Roman" w:hAnsi="Times New Roman" w:cs="Times New Roman"/>
          <w:bCs/>
          <w:noProof/>
          <w:sz w:val="24"/>
          <w:szCs w:val="24"/>
          <w:lang w:val="en-US"/>
        </w:rPr>
        <w:t>GRI Global</w:t>
      </w:r>
      <w:r w:rsidR="001730CC" w:rsidRPr="00673438">
        <w:rPr>
          <w:rFonts w:ascii="Times New Roman" w:hAnsi="Times New Roman" w:cs="Times New Roman"/>
          <w:noProof/>
          <w:sz w:val="24"/>
          <w:szCs w:val="24"/>
          <w:lang w:val="en-US"/>
        </w:rPr>
        <w:t xml:space="preserve">. </w:t>
      </w:r>
    </w:p>
    <w:p w14:paraId="35FE2E54" w14:textId="3107E17E"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(2016i).</w:t>
      </w:r>
      <w:r w:rsidR="001730CC" w:rsidRPr="00673438">
        <w:rPr>
          <w:rFonts w:ascii="Times New Roman" w:hAnsi="Times New Roman" w:cs="Times New Roman"/>
          <w:noProof/>
          <w:sz w:val="24"/>
          <w:szCs w:val="24"/>
          <w:lang w:val="en-US"/>
        </w:rPr>
        <w:t xml:space="preserve"> GRI 411: Rights of indigenous peoples. </w:t>
      </w:r>
      <w:r w:rsidR="001730CC" w:rsidRPr="00673438">
        <w:rPr>
          <w:rFonts w:ascii="Times New Roman" w:hAnsi="Times New Roman" w:cs="Times New Roman"/>
          <w:bCs/>
          <w:noProof/>
          <w:sz w:val="24"/>
          <w:szCs w:val="24"/>
          <w:lang w:val="en-US"/>
        </w:rPr>
        <w:t>GRI Global</w:t>
      </w:r>
      <w:r w:rsidR="001730CC" w:rsidRPr="00673438">
        <w:rPr>
          <w:rFonts w:ascii="Times New Roman" w:hAnsi="Times New Roman" w:cs="Times New Roman"/>
          <w:noProof/>
          <w:sz w:val="24"/>
          <w:szCs w:val="24"/>
          <w:lang w:val="en-US"/>
        </w:rPr>
        <w:t xml:space="preserve">. </w:t>
      </w:r>
    </w:p>
    <w:p w14:paraId="73441737" w14:textId="49EBB14A"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w:t>
      </w:r>
      <w:r w:rsidR="00002BCF" w:rsidRPr="00673438">
        <w:rPr>
          <w:rFonts w:ascii="Times New Roman" w:hAnsi="Times New Roman" w:cs="Times New Roman"/>
          <w:noProof/>
          <w:sz w:val="24"/>
          <w:szCs w:val="24"/>
          <w:lang w:val="en-US"/>
        </w:rPr>
        <w:t>lobal</w:t>
      </w:r>
      <w:r w:rsidRPr="00673438">
        <w:rPr>
          <w:rFonts w:ascii="Times New Roman" w:hAnsi="Times New Roman" w:cs="Times New Roman"/>
          <w:noProof/>
          <w:sz w:val="24"/>
          <w:szCs w:val="24"/>
          <w:lang w:val="en-US"/>
        </w:rPr>
        <w:t xml:space="preserve"> R</w:t>
      </w:r>
      <w:r w:rsidR="00002BCF" w:rsidRPr="00673438">
        <w:rPr>
          <w:rFonts w:ascii="Times New Roman" w:hAnsi="Times New Roman" w:cs="Times New Roman"/>
          <w:noProof/>
          <w:sz w:val="24"/>
          <w:szCs w:val="24"/>
          <w:lang w:val="en-US"/>
        </w:rPr>
        <w:t>eporting</w:t>
      </w:r>
      <w:r w:rsidRPr="00673438">
        <w:rPr>
          <w:rFonts w:ascii="Times New Roman" w:hAnsi="Times New Roman" w:cs="Times New Roman"/>
          <w:noProof/>
          <w:sz w:val="24"/>
          <w:szCs w:val="24"/>
          <w:lang w:val="en-US"/>
        </w:rPr>
        <w:t xml:space="preserve"> I</w:t>
      </w:r>
      <w:r w:rsidR="00002BCF" w:rsidRPr="00673438">
        <w:rPr>
          <w:rFonts w:ascii="Times New Roman" w:hAnsi="Times New Roman" w:cs="Times New Roman"/>
          <w:noProof/>
          <w:sz w:val="24"/>
          <w:szCs w:val="24"/>
          <w:lang w:val="en-US"/>
        </w:rPr>
        <w:t>nitiative</w:t>
      </w:r>
      <w:r w:rsidR="00673438">
        <w:rPr>
          <w:rFonts w:ascii="Times New Roman" w:hAnsi="Times New Roman" w:cs="Times New Roman"/>
          <w:noProof/>
          <w:sz w:val="24"/>
          <w:szCs w:val="24"/>
          <w:lang w:val="en-US"/>
        </w:rPr>
        <w:t>, (2016j).</w:t>
      </w:r>
      <w:r w:rsidRPr="00673438">
        <w:rPr>
          <w:rFonts w:ascii="Times New Roman" w:hAnsi="Times New Roman" w:cs="Times New Roman"/>
          <w:noProof/>
          <w:sz w:val="24"/>
          <w:szCs w:val="24"/>
          <w:lang w:val="en-US"/>
        </w:rPr>
        <w:t xml:space="preserve"> GRI 412: Human rights assessment. </w:t>
      </w:r>
      <w:r w:rsidRPr="00673438">
        <w:rPr>
          <w:rFonts w:ascii="Times New Roman" w:hAnsi="Times New Roman" w:cs="Times New Roman"/>
          <w:bCs/>
          <w:noProof/>
          <w:sz w:val="24"/>
          <w:szCs w:val="24"/>
          <w:lang w:val="en-US"/>
        </w:rPr>
        <w:t>GRI Standards</w:t>
      </w:r>
      <w:r w:rsidRPr="00673438">
        <w:rPr>
          <w:rFonts w:ascii="Times New Roman" w:hAnsi="Times New Roman" w:cs="Times New Roman"/>
          <w:noProof/>
          <w:sz w:val="24"/>
          <w:szCs w:val="24"/>
          <w:lang w:val="en-US"/>
        </w:rPr>
        <w:t xml:space="preserve">. </w:t>
      </w:r>
    </w:p>
    <w:p w14:paraId="163B9CDB" w14:textId="49259700"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(2016k). GRI 413: Local communities</w:t>
      </w:r>
      <w:r w:rsidR="001730CC" w:rsidRPr="00673438">
        <w:rPr>
          <w:rFonts w:ascii="Times New Roman" w:hAnsi="Times New Roman" w:cs="Times New Roman"/>
          <w:noProof/>
          <w:sz w:val="24"/>
          <w:szCs w:val="24"/>
          <w:lang w:val="en-US"/>
        </w:rPr>
        <w:t xml:space="preserve">. </w:t>
      </w:r>
    </w:p>
    <w:p w14:paraId="07FD4B6A" w14:textId="7465ED41"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(2016l).</w:t>
      </w:r>
      <w:r w:rsidR="001730CC" w:rsidRPr="00673438">
        <w:rPr>
          <w:rFonts w:ascii="Times New Roman" w:hAnsi="Times New Roman" w:cs="Times New Roman"/>
          <w:noProof/>
          <w:sz w:val="24"/>
          <w:szCs w:val="24"/>
          <w:lang w:val="en-US"/>
        </w:rPr>
        <w:t xml:space="preserve"> GRI 414: Supplier social assessment.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1B42CA6C" w14:textId="3FEBBEAF"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(2016m).</w:t>
      </w:r>
      <w:r w:rsidR="001730CC" w:rsidRPr="00673438">
        <w:rPr>
          <w:rFonts w:ascii="Times New Roman" w:hAnsi="Times New Roman" w:cs="Times New Roman"/>
          <w:noProof/>
          <w:sz w:val="24"/>
          <w:szCs w:val="24"/>
          <w:lang w:val="en-US"/>
        </w:rPr>
        <w:t xml:space="preserve"> GRI 415: Public policy.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6C5C4B74" w14:textId="67825904"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(2016n).</w:t>
      </w:r>
      <w:r w:rsidR="001730CC" w:rsidRPr="00673438">
        <w:rPr>
          <w:rFonts w:ascii="Times New Roman" w:hAnsi="Times New Roman" w:cs="Times New Roman"/>
          <w:noProof/>
          <w:sz w:val="24"/>
          <w:szCs w:val="24"/>
          <w:lang w:val="en-US"/>
        </w:rPr>
        <w:t xml:space="preserve"> GRI 416: Customer health and safety.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2BC78027" w14:textId="45D833A5"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(2016o).</w:t>
      </w:r>
      <w:r w:rsidR="001730CC" w:rsidRPr="00673438">
        <w:rPr>
          <w:rFonts w:ascii="Times New Roman" w:hAnsi="Times New Roman" w:cs="Times New Roman"/>
          <w:noProof/>
          <w:sz w:val="24"/>
          <w:szCs w:val="24"/>
          <w:lang w:val="en-US"/>
        </w:rPr>
        <w:t xml:space="preserve"> GRI 417: Marketing and Labeling. p. 10. </w:t>
      </w:r>
    </w:p>
    <w:p w14:paraId="1F8C17EF" w14:textId="206D53D2"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(2016p).</w:t>
      </w:r>
      <w:r w:rsidR="001730CC" w:rsidRPr="00673438">
        <w:rPr>
          <w:rFonts w:ascii="Times New Roman" w:hAnsi="Times New Roman" w:cs="Times New Roman"/>
          <w:noProof/>
          <w:sz w:val="24"/>
          <w:szCs w:val="24"/>
          <w:lang w:val="en-US"/>
        </w:rPr>
        <w:t xml:space="preserve"> GRI 418: Customer privacy. </w:t>
      </w:r>
      <w:r w:rsidR="001730CC" w:rsidRPr="00673438">
        <w:rPr>
          <w:rFonts w:ascii="Times New Roman" w:hAnsi="Times New Roman" w:cs="Times New Roman"/>
          <w:bCs/>
          <w:noProof/>
          <w:sz w:val="24"/>
          <w:szCs w:val="24"/>
          <w:lang w:val="en-US"/>
        </w:rPr>
        <w:t>GRI Standards</w:t>
      </w:r>
      <w:r w:rsidR="001730CC" w:rsidRPr="00673438">
        <w:rPr>
          <w:rFonts w:ascii="Times New Roman" w:hAnsi="Times New Roman" w:cs="Times New Roman"/>
          <w:noProof/>
          <w:sz w:val="24"/>
          <w:szCs w:val="24"/>
          <w:lang w:val="en-US"/>
        </w:rPr>
        <w:t xml:space="preserve">. </w:t>
      </w:r>
    </w:p>
    <w:p w14:paraId="5C7EF567" w14:textId="277A9D2D"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(2016q).</w:t>
      </w:r>
      <w:r w:rsidR="001730CC" w:rsidRPr="00673438">
        <w:rPr>
          <w:rFonts w:ascii="Times New Roman" w:hAnsi="Times New Roman" w:cs="Times New Roman"/>
          <w:noProof/>
          <w:sz w:val="24"/>
          <w:szCs w:val="24"/>
          <w:lang w:val="en-US"/>
        </w:rPr>
        <w:t xml:space="preserve"> GRI 419: Socioeconomic compliance. </w:t>
      </w:r>
    </w:p>
    <w:p w14:paraId="0D99587F" w14:textId="01BC52A9" w:rsidR="001730CC" w:rsidRPr="00002BCF" w:rsidRDefault="00002BCF" w:rsidP="00002BCF">
      <w:pPr>
        <w:widowControl w:val="0"/>
        <w:autoSpaceDE w:val="0"/>
        <w:autoSpaceDN w:val="0"/>
        <w:adjustRightInd w:val="0"/>
        <w:spacing w:line="240" w:lineRule="auto"/>
        <w:jc w:val="left"/>
        <w:rPr>
          <w:rFonts w:ascii="Times New Roman" w:hAnsi="Times New Roman" w:cs="Times New Roman"/>
          <w:noProof/>
          <w:sz w:val="24"/>
          <w:szCs w:val="24"/>
        </w:rPr>
      </w:pPr>
      <w:r w:rsidRPr="00673438">
        <w:rPr>
          <w:rFonts w:ascii="Times New Roman" w:hAnsi="Times New Roman" w:cs="Times New Roman"/>
          <w:noProof/>
          <w:sz w:val="24"/>
          <w:szCs w:val="24"/>
          <w:lang w:val="en-US"/>
        </w:rPr>
        <w:t>Global Reporting Initiative</w:t>
      </w:r>
      <w:r w:rsidR="00673438">
        <w:rPr>
          <w:rFonts w:ascii="Times New Roman" w:hAnsi="Times New Roman" w:cs="Times New Roman"/>
          <w:noProof/>
          <w:sz w:val="24"/>
          <w:szCs w:val="24"/>
          <w:lang w:val="en-US"/>
        </w:rPr>
        <w:t>, (2018a)</w:t>
      </w:r>
      <w:r w:rsidR="001730CC" w:rsidRPr="00673438">
        <w:rPr>
          <w:rFonts w:ascii="Times New Roman" w:hAnsi="Times New Roman" w:cs="Times New Roman"/>
          <w:noProof/>
          <w:sz w:val="24"/>
          <w:szCs w:val="24"/>
          <w:lang w:val="en-US"/>
        </w:rPr>
        <w:t xml:space="preserve"> GRI 402: Labor/Management Relations. p. 1–</w:t>
      </w:r>
      <w:r w:rsidR="00673438">
        <w:rPr>
          <w:rFonts w:ascii="Times New Roman" w:hAnsi="Times New Roman" w:cs="Times New Roman"/>
          <w:noProof/>
          <w:sz w:val="24"/>
          <w:szCs w:val="24"/>
          <w:lang w:val="en-US"/>
        </w:rPr>
        <w:t>8</w:t>
      </w:r>
      <w:r w:rsidR="001730CC" w:rsidRPr="00002BCF">
        <w:rPr>
          <w:rFonts w:ascii="Times New Roman" w:hAnsi="Times New Roman" w:cs="Times New Roman"/>
          <w:noProof/>
          <w:sz w:val="24"/>
          <w:szCs w:val="24"/>
        </w:rPr>
        <w:t xml:space="preserve">. </w:t>
      </w:r>
    </w:p>
    <w:p w14:paraId="4EE4BF13" w14:textId="654F3B4D" w:rsidR="001730CC" w:rsidRPr="00673438" w:rsidRDefault="00002BCF"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lastRenderedPageBreak/>
        <w:t>Global Reporting Initiative</w:t>
      </w:r>
      <w:r w:rsidR="00673438" w:rsidRPr="00673438">
        <w:rPr>
          <w:rFonts w:ascii="Times New Roman" w:hAnsi="Times New Roman" w:cs="Times New Roman"/>
          <w:noProof/>
          <w:sz w:val="24"/>
          <w:szCs w:val="24"/>
          <w:lang w:val="en-US"/>
        </w:rPr>
        <w:t>, (2018b)</w:t>
      </w:r>
      <w:r w:rsidR="001730CC" w:rsidRPr="00673438">
        <w:rPr>
          <w:rFonts w:ascii="Times New Roman" w:hAnsi="Times New Roman" w:cs="Times New Roman"/>
          <w:noProof/>
          <w:sz w:val="24"/>
          <w:szCs w:val="24"/>
          <w:lang w:val="en-US"/>
        </w:rPr>
        <w:t xml:space="preserve"> GRI 403: Occupational health and safety. </w:t>
      </w:r>
    </w:p>
    <w:p w14:paraId="38832BEC" w14:textId="69A6864C"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t>G</w:t>
      </w:r>
      <w:r w:rsidR="00002BCF" w:rsidRPr="00002BCF">
        <w:rPr>
          <w:rFonts w:ascii="Times New Roman" w:hAnsi="Times New Roman" w:cs="Times New Roman"/>
          <w:noProof/>
          <w:sz w:val="24"/>
          <w:szCs w:val="24"/>
        </w:rPr>
        <w:t>raafland</w:t>
      </w:r>
      <w:r w:rsidR="00673438">
        <w:rPr>
          <w:rFonts w:ascii="Times New Roman" w:hAnsi="Times New Roman" w:cs="Times New Roman"/>
          <w:noProof/>
          <w:sz w:val="24"/>
          <w:szCs w:val="24"/>
        </w:rPr>
        <w:t>, J. J, (2004).</w:t>
      </w:r>
      <w:r w:rsidRPr="00002BCF">
        <w:rPr>
          <w:rFonts w:ascii="Times New Roman" w:hAnsi="Times New Roman" w:cs="Times New Roman"/>
          <w:noProof/>
          <w:sz w:val="24"/>
          <w:szCs w:val="24"/>
        </w:rPr>
        <w:t xml:space="preserve"> </w:t>
      </w:r>
      <w:r w:rsidRPr="00673438">
        <w:rPr>
          <w:rFonts w:ascii="Times New Roman" w:hAnsi="Times New Roman" w:cs="Times New Roman"/>
          <w:noProof/>
          <w:sz w:val="24"/>
          <w:szCs w:val="24"/>
          <w:lang w:val="en-US"/>
        </w:rPr>
        <w:t xml:space="preserve">Collusion, reputation damage and interest in codes of conduct: the case of a Dutch construction company. </w:t>
      </w:r>
      <w:r w:rsidRPr="00002BCF">
        <w:rPr>
          <w:rFonts w:ascii="Times New Roman" w:hAnsi="Times New Roman" w:cs="Times New Roman"/>
          <w:bCs/>
          <w:noProof/>
          <w:sz w:val="24"/>
          <w:szCs w:val="24"/>
        </w:rPr>
        <w:t>Business Ethics: A European Review</w:t>
      </w:r>
      <w:r w:rsidRPr="00002BCF">
        <w:rPr>
          <w:rFonts w:ascii="Times New Roman" w:hAnsi="Times New Roman" w:cs="Times New Roman"/>
          <w:noProof/>
          <w:sz w:val="24"/>
          <w:szCs w:val="24"/>
        </w:rPr>
        <w:t xml:space="preserve">, v. 13, n. 2–3, p. 127–142. </w:t>
      </w:r>
    </w:p>
    <w:p w14:paraId="1B38C56B" w14:textId="41096150" w:rsidR="001730CC" w:rsidRPr="00673438" w:rsidRDefault="00673438"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GRI, (2014)</w:t>
      </w:r>
      <w:r w:rsidR="001730CC" w:rsidRPr="00673438">
        <w:rPr>
          <w:rFonts w:ascii="Times New Roman" w:hAnsi="Times New Roman" w:cs="Times New Roman"/>
          <w:noProof/>
          <w:sz w:val="24"/>
          <w:szCs w:val="24"/>
          <w:lang w:val="en-US"/>
        </w:rPr>
        <w:t xml:space="preserve"> G4 Sustainability Reporting Guidelines - Reporting Principles and Standard Disclosures. </w:t>
      </w:r>
      <w:r w:rsidR="001730CC" w:rsidRPr="00673438">
        <w:rPr>
          <w:rFonts w:ascii="Times New Roman" w:hAnsi="Times New Roman" w:cs="Times New Roman"/>
          <w:bCs/>
          <w:noProof/>
          <w:sz w:val="24"/>
          <w:szCs w:val="24"/>
          <w:lang w:val="en-US"/>
        </w:rPr>
        <w:t>Global Reporting Initiative</w:t>
      </w:r>
      <w:r w:rsidR="001730CC" w:rsidRPr="00673438">
        <w:rPr>
          <w:rFonts w:ascii="Times New Roman" w:hAnsi="Times New Roman" w:cs="Times New Roman"/>
          <w:noProof/>
          <w:sz w:val="24"/>
          <w:szCs w:val="24"/>
          <w:lang w:val="en-US"/>
        </w:rPr>
        <w:t xml:space="preserve">. </w:t>
      </w:r>
    </w:p>
    <w:p w14:paraId="6BFA54B0" w14:textId="1117B557" w:rsidR="001730CC" w:rsidRPr="00673438" w:rsidRDefault="00673438"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GRI, (2016).</w:t>
      </w:r>
      <w:r>
        <w:rPr>
          <w:rFonts w:ascii="Times New Roman" w:hAnsi="Times New Roman" w:cs="Times New Roman"/>
          <w:noProof/>
          <w:sz w:val="24"/>
          <w:szCs w:val="24"/>
          <w:lang w:val="en-US"/>
        </w:rPr>
        <w:t xml:space="preserve"> Gri 101: fundamentos 2016 101.</w:t>
      </w:r>
      <w:r w:rsidR="001730CC" w:rsidRPr="00673438">
        <w:rPr>
          <w:rFonts w:ascii="Times New Roman" w:hAnsi="Times New Roman" w:cs="Times New Roman"/>
          <w:noProof/>
          <w:sz w:val="24"/>
          <w:szCs w:val="24"/>
          <w:lang w:val="en-US"/>
        </w:rPr>
        <w:t xml:space="preserve"> </w:t>
      </w:r>
    </w:p>
    <w:p w14:paraId="7D8FD454" w14:textId="55B0B15F" w:rsidR="001730CC" w:rsidRPr="00673438" w:rsidRDefault="00673438"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Pr>
          <w:rFonts w:ascii="Times New Roman" w:hAnsi="Times New Roman" w:cs="Times New Roman"/>
          <w:noProof/>
          <w:sz w:val="24"/>
          <w:szCs w:val="24"/>
          <w:lang w:val="en-US"/>
        </w:rPr>
        <w:t>ISO, (2004).</w:t>
      </w:r>
      <w:r w:rsidR="001730CC" w:rsidRPr="00673438">
        <w:rPr>
          <w:rFonts w:ascii="Times New Roman" w:hAnsi="Times New Roman" w:cs="Times New Roman"/>
          <w:noProof/>
          <w:sz w:val="24"/>
          <w:szCs w:val="24"/>
          <w:lang w:val="en-US"/>
        </w:rPr>
        <w:t xml:space="preserve"> </w:t>
      </w:r>
      <w:r w:rsidR="001730CC" w:rsidRPr="00673438">
        <w:rPr>
          <w:rFonts w:ascii="Times New Roman" w:hAnsi="Times New Roman" w:cs="Times New Roman"/>
          <w:bCs/>
          <w:noProof/>
          <w:sz w:val="24"/>
          <w:szCs w:val="24"/>
          <w:lang w:val="en-US"/>
        </w:rPr>
        <w:t>IS0 14001: Environmental management systems — Requirements with guidance for useOrder A Journal On The Theory Of Ordered Sets And Its Applications</w:t>
      </w:r>
      <w:r w:rsidR="001730CC" w:rsidRPr="00673438">
        <w:rPr>
          <w:rFonts w:ascii="Times New Roman" w:hAnsi="Times New Roman" w:cs="Times New Roman"/>
          <w:noProof/>
          <w:sz w:val="24"/>
          <w:szCs w:val="24"/>
          <w:lang w:val="en-US"/>
        </w:rPr>
        <w:t xml:space="preserve">. </w:t>
      </w:r>
    </w:p>
    <w:p w14:paraId="11D1860A" w14:textId="1EE3786A" w:rsidR="001730CC" w:rsidRPr="00673438" w:rsidRDefault="00673438"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Pr>
          <w:rFonts w:ascii="Times New Roman" w:hAnsi="Times New Roman" w:cs="Times New Roman"/>
          <w:noProof/>
          <w:sz w:val="24"/>
          <w:szCs w:val="24"/>
          <w:lang w:val="en-US"/>
        </w:rPr>
        <w:t>IS</w:t>
      </w:r>
      <w:r w:rsidRPr="00673438">
        <w:rPr>
          <w:rFonts w:ascii="Times New Roman" w:hAnsi="Times New Roman" w:cs="Times New Roman"/>
          <w:noProof/>
          <w:sz w:val="24"/>
          <w:szCs w:val="24"/>
          <w:lang w:val="en-US"/>
        </w:rPr>
        <w:t>O, (2015).</w:t>
      </w:r>
      <w:r w:rsidR="001730CC" w:rsidRPr="00673438">
        <w:rPr>
          <w:rFonts w:ascii="Times New Roman" w:hAnsi="Times New Roman" w:cs="Times New Roman"/>
          <w:noProof/>
          <w:sz w:val="24"/>
          <w:szCs w:val="24"/>
          <w:lang w:val="en-US"/>
        </w:rPr>
        <w:t xml:space="preserve"> ISO 9001:2015. </w:t>
      </w:r>
      <w:r w:rsidR="001730CC" w:rsidRPr="00673438">
        <w:rPr>
          <w:rFonts w:ascii="Times New Roman" w:hAnsi="Times New Roman" w:cs="Times New Roman"/>
          <w:bCs/>
          <w:noProof/>
          <w:sz w:val="24"/>
          <w:szCs w:val="24"/>
          <w:lang w:val="en-US"/>
        </w:rPr>
        <w:t>International organization for standardization</w:t>
      </w:r>
      <w:r w:rsidR="001730CC" w:rsidRPr="00673438">
        <w:rPr>
          <w:rFonts w:ascii="Times New Roman" w:hAnsi="Times New Roman" w:cs="Times New Roman"/>
          <w:noProof/>
          <w:sz w:val="24"/>
          <w:szCs w:val="24"/>
          <w:lang w:val="en-US"/>
        </w:rPr>
        <w:t xml:space="preserve">. </w:t>
      </w:r>
    </w:p>
    <w:p w14:paraId="2E0FFA49" w14:textId="0964842D"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K</w:t>
      </w:r>
      <w:r w:rsidR="00002BCF" w:rsidRPr="00673438">
        <w:rPr>
          <w:rFonts w:ascii="Times New Roman" w:hAnsi="Times New Roman" w:cs="Times New Roman"/>
          <w:noProof/>
          <w:sz w:val="24"/>
          <w:szCs w:val="24"/>
          <w:lang w:val="en-US"/>
        </w:rPr>
        <w:t>enny</w:t>
      </w:r>
      <w:r w:rsidR="00673438">
        <w:rPr>
          <w:rFonts w:ascii="Times New Roman" w:hAnsi="Times New Roman" w:cs="Times New Roman"/>
          <w:noProof/>
          <w:sz w:val="24"/>
          <w:szCs w:val="24"/>
          <w:lang w:val="en-US"/>
        </w:rPr>
        <w:t>, C, (2007).</w:t>
      </w:r>
      <w:r w:rsidRPr="00673438">
        <w:rPr>
          <w:rFonts w:ascii="Times New Roman" w:hAnsi="Times New Roman" w:cs="Times New Roman"/>
          <w:noProof/>
          <w:sz w:val="24"/>
          <w:szCs w:val="24"/>
          <w:lang w:val="en-US"/>
        </w:rPr>
        <w:t xml:space="preserve"> Construction, Corruption, and Developing Countries. </w:t>
      </w:r>
      <w:r w:rsidRPr="00673438">
        <w:rPr>
          <w:rFonts w:ascii="Times New Roman" w:hAnsi="Times New Roman" w:cs="Times New Roman"/>
          <w:bCs/>
          <w:noProof/>
          <w:sz w:val="24"/>
          <w:szCs w:val="24"/>
          <w:lang w:val="en-US"/>
        </w:rPr>
        <w:t>World Bank Policy Research</w:t>
      </w:r>
      <w:r w:rsidRPr="00673438">
        <w:rPr>
          <w:rFonts w:ascii="Times New Roman" w:hAnsi="Times New Roman" w:cs="Times New Roman"/>
          <w:noProof/>
          <w:sz w:val="24"/>
          <w:szCs w:val="24"/>
          <w:lang w:val="en-US"/>
        </w:rPr>
        <w:t xml:space="preserve">, v. Working Pa. </w:t>
      </w:r>
    </w:p>
    <w:p w14:paraId="36019564" w14:textId="531D42A3"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673438">
        <w:rPr>
          <w:rFonts w:ascii="Times New Roman" w:hAnsi="Times New Roman" w:cs="Times New Roman"/>
          <w:noProof/>
          <w:sz w:val="24"/>
          <w:szCs w:val="24"/>
          <w:lang w:val="en-US"/>
        </w:rPr>
        <w:t>K</w:t>
      </w:r>
      <w:r w:rsidR="00002BCF" w:rsidRPr="00673438">
        <w:rPr>
          <w:rFonts w:ascii="Times New Roman" w:hAnsi="Times New Roman" w:cs="Times New Roman"/>
          <w:noProof/>
          <w:sz w:val="24"/>
          <w:szCs w:val="24"/>
          <w:lang w:val="en-US"/>
        </w:rPr>
        <w:t>han</w:t>
      </w:r>
      <w:r w:rsidR="00673438">
        <w:rPr>
          <w:rFonts w:ascii="Times New Roman" w:hAnsi="Times New Roman" w:cs="Times New Roman"/>
          <w:noProof/>
          <w:sz w:val="24"/>
          <w:szCs w:val="24"/>
          <w:lang w:val="en-US"/>
        </w:rPr>
        <w:t>, M. A, (1995)</w:t>
      </w:r>
      <w:r w:rsidRPr="00673438">
        <w:rPr>
          <w:rFonts w:ascii="Times New Roman" w:hAnsi="Times New Roman" w:cs="Times New Roman"/>
          <w:noProof/>
          <w:sz w:val="24"/>
          <w:szCs w:val="24"/>
          <w:lang w:val="en-US"/>
        </w:rPr>
        <w:t xml:space="preserve"> Sustainable development: The key concepts, issues and implications. </w:t>
      </w:r>
      <w:r w:rsidRPr="00002BCF">
        <w:rPr>
          <w:rFonts w:ascii="Times New Roman" w:hAnsi="Times New Roman" w:cs="Times New Roman"/>
          <w:noProof/>
          <w:sz w:val="24"/>
          <w:szCs w:val="24"/>
        </w:rPr>
        <w:t xml:space="preserve">Keynote paper given at the international sustainable development research conference, 27–29 march 1995, Manchester, UK. </w:t>
      </w:r>
      <w:r w:rsidRPr="00002BCF">
        <w:rPr>
          <w:rFonts w:ascii="Times New Roman" w:hAnsi="Times New Roman" w:cs="Times New Roman"/>
          <w:bCs/>
          <w:noProof/>
          <w:sz w:val="24"/>
          <w:szCs w:val="24"/>
        </w:rPr>
        <w:t>Sustainable Development</w:t>
      </w:r>
      <w:r w:rsidRPr="00002BCF">
        <w:rPr>
          <w:rFonts w:ascii="Times New Roman" w:hAnsi="Times New Roman" w:cs="Times New Roman"/>
          <w:noProof/>
          <w:sz w:val="24"/>
          <w:szCs w:val="24"/>
        </w:rPr>
        <w:t xml:space="preserve">, v. 3, n. 2, p. 63–69. </w:t>
      </w:r>
    </w:p>
    <w:p w14:paraId="75CCF31E" w14:textId="1987AA1F"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t>K</w:t>
      </w:r>
      <w:r w:rsidR="00002BCF" w:rsidRPr="00002BCF">
        <w:rPr>
          <w:rFonts w:ascii="Times New Roman" w:hAnsi="Times New Roman" w:cs="Times New Roman"/>
          <w:noProof/>
          <w:sz w:val="24"/>
          <w:szCs w:val="24"/>
        </w:rPr>
        <w:t>ohlman</w:t>
      </w:r>
      <w:r w:rsidRPr="00002BCF">
        <w:rPr>
          <w:rFonts w:ascii="Times New Roman" w:hAnsi="Times New Roman" w:cs="Times New Roman"/>
          <w:noProof/>
          <w:sz w:val="24"/>
          <w:szCs w:val="24"/>
        </w:rPr>
        <w:t xml:space="preserve"> R</w:t>
      </w:r>
      <w:r w:rsidR="00002BCF" w:rsidRPr="00002BCF">
        <w:rPr>
          <w:rFonts w:ascii="Times New Roman" w:hAnsi="Times New Roman" w:cs="Times New Roman"/>
          <w:noProof/>
          <w:sz w:val="24"/>
          <w:szCs w:val="24"/>
        </w:rPr>
        <w:t>abbani</w:t>
      </w:r>
      <w:r w:rsidRPr="00002BCF">
        <w:rPr>
          <w:rFonts w:ascii="Times New Roman" w:hAnsi="Times New Roman" w:cs="Times New Roman"/>
          <w:noProof/>
          <w:sz w:val="24"/>
          <w:szCs w:val="24"/>
        </w:rPr>
        <w:t>, E. R.; P</w:t>
      </w:r>
      <w:r w:rsidR="00002BCF" w:rsidRPr="00002BCF">
        <w:rPr>
          <w:rFonts w:ascii="Times New Roman" w:hAnsi="Times New Roman" w:cs="Times New Roman"/>
          <w:noProof/>
          <w:sz w:val="24"/>
          <w:szCs w:val="24"/>
        </w:rPr>
        <w:t>ereira</w:t>
      </w:r>
      <w:r w:rsidRPr="00002BCF">
        <w:rPr>
          <w:rFonts w:ascii="Times New Roman" w:hAnsi="Times New Roman" w:cs="Times New Roman"/>
          <w:noProof/>
          <w:sz w:val="24"/>
          <w:szCs w:val="24"/>
        </w:rPr>
        <w:t>, M. L.; C</w:t>
      </w:r>
      <w:r w:rsidR="00002BCF" w:rsidRPr="00002BCF">
        <w:rPr>
          <w:rFonts w:ascii="Times New Roman" w:hAnsi="Times New Roman" w:cs="Times New Roman"/>
          <w:noProof/>
          <w:sz w:val="24"/>
          <w:szCs w:val="24"/>
        </w:rPr>
        <w:t>ruz</w:t>
      </w:r>
      <w:r w:rsidRPr="00002BCF">
        <w:rPr>
          <w:rFonts w:ascii="Times New Roman" w:hAnsi="Times New Roman" w:cs="Times New Roman"/>
          <w:noProof/>
          <w:sz w:val="24"/>
          <w:szCs w:val="24"/>
        </w:rPr>
        <w:t>, E. N</w:t>
      </w:r>
      <w:r w:rsidR="00673438">
        <w:rPr>
          <w:rFonts w:ascii="Times New Roman" w:hAnsi="Times New Roman" w:cs="Times New Roman"/>
          <w:noProof/>
          <w:sz w:val="24"/>
          <w:szCs w:val="24"/>
        </w:rPr>
        <w:t>, (2017)</w:t>
      </w:r>
      <w:r w:rsidRPr="00002BCF">
        <w:rPr>
          <w:rFonts w:ascii="Times New Roman" w:hAnsi="Times New Roman" w:cs="Times New Roman"/>
          <w:noProof/>
          <w:sz w:val="24"/>
          <w:szCs w:val="24"/>
        </w:rPr>
        <w:t xml:space="preserve"> Sustentabilidade Social em Projetos de Construção. In: </w:t>
      </w:r>
      <w:r w:rsidRPr="00002BCF">
        <w:rPr>
          <w:rFonts w:ascii="Times New Roman" w:hAnsi="Times New Roman" w:cs="Times New Roman"/>
          <w:bCs/>
          <w:noProof/>
          <w:sz w:val="24"/>
          <w:szCs w:val="24"/>
        </w:rPr>
        <w:t>Sustentabilidade Urbana</w:t>
      </w:r>
      <w:r w:rsidRPr="00002BCF">
        <w:rPr>
          <w:rFonts w:ascii="Times New Roman" w:hAnsi="Times New Roman" w:cs="Times New Roman"/>
          <w:noProof/>
          <w:sz w:val="24"/>
          <w:szCs w:val="24"/>
        </w:rPr>
        <w:t xml:space="preserve">. 1 ed. ed. Recife: EDUPE. p. 61–84. </w:t>
      </w:r>
    </w:p>
    <w:p w14:paraId="5297C547" w14:textId="0FBB0064"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t>L</w:t>
      </w:r>
      <w:r w:rsidR="00002BCF" w:rsidRPr="00002BCF">
        <w:rPr>
          <w:rFonts w:ascii="Times New Roman" w:hAnsi="Times New Roman" w:cs="Times New Roman"/>
          <w:noProof/>
          <w:sz w:val="24"/>
          <w:szCs w:val="24"/>
        </w:rPr>
        <w:t>ehmann</w:t>
      </w:r>
      <w:r w:rsidR="00673438">
        <w:rPr>
          <w:rFonts w:ascii="Times New Roman" w:hAnsi="Times New Roman" w:cs="Times New Roman"/>
          <w:noProof/>
          <w:sz w:val="24"/>
          <w:szCs w:val="24"/>
        </w:rPr>
        <w:t>, A. et al, (2013).</w:t>
      </w:r>
      <w:r w:rsidRPr="00002BCF">
        <w:rPr>
          <w:rFonts w:ascii="Times New Roman" w:hAnsi="Times New Roman" w:cs="Times New Roman"/>
          <w:noProof/>
          <w:sz w:val="24"/>
          <w:szCs w:val="24"/>
        </w:rPr>
        <w:t xml:space="preserve"> </w:t>
      </w:r>
      <w:r w:rsidRPr="00673438">
        <w:rPr>
          <w:rFonts w:ascii="Times New Roman" w:hAnsi="Times New Roman" w:cs="Times New Roman"/>
          <w:noProof/>
          <w:sz w:val="24"/>
          <w:szCs w:val="24"/>
          <w:lang w:val="en-US"/>
        </w:rPr>
        <w:t xml:space="preserve">Social aspects for sustainability assessment of technologies - Challenges for social life cycle assessment (SLCA). </w:t>
      </w:r>
      <w:r w:rsidRPr="00002BCF">
        <w:rPr>
          <w:rFonts w:ascii="Times New Roman" w:hAnsi="Times New Roman" w:cs="Times New Roman"/>
          <w:bCs/>
          <w:noProof/>
          <w:sz w:val="24"/>
          <w:szCs w:val="24"/>
        </w:rPr>
        <w:t>International Journal of Life Cycle Assessment</w:t>
      </w:r>
      <w:r w:rsidRPr="00002BCF">
        <w:rPr>
          <w:rFonts w:ascii="Times New Roman" w:hAnsi="Times New Roman" w:cs="Times New Roman"/>
          <w:noProof/>
          <w:sz w:val="24"/>
          <w:szCs w:val="24"/>
        </w:rPr>
        <w:t xml:space="preserve">, v. 18, n. 8, p. 1581–1592. </w:t>
      </w:r>
    </w:p>
    <w:p w14:paraId="2378068B" w14:textId="57590BE9"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t>L</w:t>
      </w:r>
      <w:r w:rsidR="00002BCF" w:rsidRPr="00002BCF">
        <w:rPr>
          <w:rFonts w:ascii="Times New Roman" w:hAnsi="Times New Roman" w:cs="Times New Roman"/>
          <w:noProof/>
          <w:sz w:val="24"/>
          <w:szCs w:val="24"/>
        </w:rPr>
        <w:t>i</w:t>
      </w:r>
      <w:r w:rsidR="00673438">
        <w:rPr>
          <w:rFonts w:ascii="Times New Roman" w:hAnsi="Times New Roman" w:cs="Times New Roman"/>
          <w:noProof/>
          <w:sz w:val="24"/>
          <w:szCs w:val="24"/>
        </w:rPr>
        <w:t>, H. et al, (2019).</w:t>
      </w:r>
      <w:r w:rsidRPr="00002BCF">
        <w:rPr>
          <w:rFonts w:ascii="Times New Roman" w:hAnsi="Times New Roman" w:cs="Times New Roman"/>
          <w:noProof/>
          <w:sz w:val="24"/>
          <w:szCs w:val="24"/>
        </w:rPr>
        <w:t xml:space="preserve"> </w:t>
      </w:r>
      <w:r w:rsidRPr="00673438">
        <w:rPr>
          <w:rFonts w:ascii="Times New Roman" w:hAnsi="Times New Roman" w:cs="Times New Roman"/>
          <w:noProof/>
          <w:sz w:val="24"/>
          <w:szCs w:val="24"/>
          <w:lang w:val="en-US"/>
        </w:rPr>
        <w:t xml:space="preserve">Social Sustainability Indicators of Public Construction Megaprojects in China. </w:t>
      </w:r>
      <w:r w:rsidRPr="00002BCF">
        <w:rPr>
          <w:rFonts w:ascii="Times New Roman" w:hAnsi="Times New Roman" w:cs="Times New Roman"/>
          <w:bCs/>
          <w:noProof/>
          <w:sz w:val="24"/>
          <w:szCs w:val="24"/>
        </w:rPr>
        <w:t>Journal of Urban Planning and Development</w:t>
      </w:r>
      <w:r w:rsidRPr="00002BCF">
        <w:rPr>
          <w:rFonts w:ascii="Times New Roman" w:hAnsi="Times New Roman" w:cs="Times New Roman"/>
          <w:noProof/>
          <w:sz w:val="24"/>
          <w:szCs w:val="24"/>
        </w:rPr>
        <w:t xml:space="preserve">, v. 144, n. 4, p. 04018034. </w:t>
      </w:r>
    </w:p>
    <w:p w14:paraId="4E9FBC7D" w14:textId="3324AF1A"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t>N</w:t>
      </w:r>
      <w:r w:rsidR="00002BCF" w:rsidRPr="00002BCF">
        <w:rPr>
          <w:rFonts w:ascii="Times New Roman" w:hAnsi="Times New Roman" w:cs="Times New Roman"/>
          <w:noProof/>
          <w:sz w:val="24"/>
          <w:szCs w:val="24"/>
        </w:rPr>
        <w:t>aderpajouh</w:t>
      </w:r>
      <w:r w:rsidR="00673438">
        <w:rPr>
          <w:rFonts w:ascii="Times New Roman" w:hAnsi="Times New Roman" w:cs="Times New Roman"/>
          <w:noProof/>
          <w:sz w:val="24"/>
          <w:szCs w:val="24"/>
        </w:rPr>
        <w:t>, N. et al, (2014).</w:t>
      </w:r>
      <w:r w:rsidRPr="00002BCF">
        <w:rPr>
          <w:rFonts w:ascii="Times New Roman" w:hAnsi="Times New Roman" w:cs="Times New Roman"/>
          <w:noProof/>
          <w:sz w:val="24"/>
          <w:szCs w:val="24"/>
        </w:rPr>
        <w:t xml:space="preserve"> </w:t>
      </w:r>
      <w:r w:rsidRPr="00673438">
        <w:rPr>
          <w:rFonts w:ascii="Times New Roman" w:hAnsi="Times New Roman" w:cs="Times New Roman"/>
          <w:noProof/>
          <w:sz w:val="24"/>
          <w:szCs w:val="24"/>
          <w:lang w:val="en-US"/>
        </w:rPr>
        <w:t xml:space="preserve">Modeling Social Opposition to Infrastructure Development. </w:t>
      </w:r>
      <w:r w:rsidRPr="00002BCF">
        <w:rPr>
          <w:rFonts w:ascii="Times New Roman" w:hAnsi="Times New Roman" w:cs="Times New Roman"/>
          <w:bCs/>
          <w:noProof/>
          <w:sz w:val="24"/>
          <w:szCs w:val="24"/>
        </w:rPr>
        <w:t>Journal of Construction Engineering and Management</w:t>
      </w:r>
      <w:r w:rsidRPr="00002BCF">
        <w:rPr>
          <w:rFonts w:ascii="Times New Roman" w:hAnsi="Times New Roman" w:cs="Times New Roman"/>
          <w:noProof/>
          <w:sz w:val="24"/>
          <w:szCs w:val="24"/>
        </w:rPr>
        <w:t xml:space="preserve">, v. 140, n. 8, p. 04014029. </w:t>
      </w:r>
    </w:p>
    <w:p w14:paraId="610EF7E0" w14:textId="41E275C7"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t>N</w:t>
      </w:r>
      <w:r w:rsidR="00002BCF" w:rsidRPr="00002BCF">
        <w:rPr>
          <w:rFonts w:ascii="Times New Roman" w:hAnsi="Times New Roman" w:cs="Times New Roman"/>
          <w:noProof/>
          <w:sz w:val="24"/>
          <w:szCs w:val="24"/>
        </w:rPr>
        <w:t>ijkamp</w:t>
      </w:r>
      <w:r w:rsidRPr="00002BCF">
        <w:rPr>
          <w:rFonts w:ascii="Times New Roman" w:hAnsi="Times New Roman" w:cs="Times New Roman"/>
          <w:noProof/>
          <w:sz w:val="24"/>
          <w:szCs w:val="24"/>
        </w:rPr>
        <w:t>, P.; S</w:t>
      </w:r>
      <w:r w:rsidR="00002BCF" w:rsidRPr="00002BCF">
        <w:rPr>
          <w:rFonts w:ascii="Times New Roman" w:hAnsi="Times New Roman" w:cs="Times New Roman"/>
          <w:noProof/>
          <w:sz w:val="24"/>
          <w:szCs w:val="24"/>
        </w:rPr>
        <w:t>oeteman</w:t>
      </w:r>
      <w:r w:rsidR="00673438">
        <w:rPr>
          <w:rFonts w:ascii="Times New Roman" w:hAnsi="Times New Roman" w:cs="Times New Roman"/>
          <w:noProof/>
          <w:sz w:val="24"/>
          <w:szCs w:val="24"/>
        </w:rPr>
        <w:t>, F, (1988).</w:t>
      </w:r>
      <w:r w:rsidRPr="00002BCF">
        <w:rPr>
          <w:rFonts w:ascii="Times New Roman" w:hAnsi="Times New Roman" w:cs="Times New Roman"/>
          <w:noProof/>
          <w:sz w:val="24"/>
          <w:szCs w:val="24"/>
        </w:rPr>
        <w:t xml:space="preserve"> </w:t>
      </w:r>
      <w:r w:rsidRPr="00673438">
        <w:rPr>
          <w:rFonts w:ascii="Times New Roman" w:hAnsi="Times New Roman" w:cs="Times New Roman"/>
          <w:noProof/>
          <w:sz w:val="24"/>
          <w:szCs w:val="24"/>
          <w:lang w:val="en-US"/>
        </w:rPr>
        <w:t xml:space="preserve">Ecologically Sustainable Economic Development: Key Issues for Strategic Environmental Management. </w:t>
      </w:r>
      <w:r w:rsidRPr="00002BCF">
        <w:rPr>
          <w:rFonts w:ascii="Times New Roman" w:hAnsi="Times New Roman" w:cs="Times New Roman"/>
          <w:bCs/>
          <w:noProof/>
          <w:sz w:val="24"/>
          <w:szCs w:val="24"/>
        </w:rPr>
        <w:t>International Journal of Social Economics</w:t>
      </w:r>
      <w:r w:rsidRPr="00002BCF">
        <w:rPr>
          <w:rFonts w:ascii="Times New Roman" w:hAnsi="Times New Roman" w:cs="Times New Roman"/>
          <w:noProof/>
          <w:sz w:val="24"/>
          <w:szCs w:val="24"/>
        </w:rPr>
        <w:t xml:space="preserve">, v. 15. </w:t>
      </w:r>
    </w:p>
    <w:p w14:paraId="16483EDE" w14:textId="593B3513"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t>O</w:t>
      </w:r>
      <w:r w:rsidR="00673438" w:rsidRPr="00002BCF">
        <w:rPr>
          <w:rFonts w:ascii="Times New Roman" w:hAnsi="Times New Roman" w:cs="Times New Roman"/>
          <w:noProof/>
          <w:sz w:val="24"/>
          <w:szCs w:val="24"/>
        </w:rPr>
        <w:t>hsas</w:t>
      </w:r>
      <w:r w:rsidRPr="00002BCF">
        <w:rPr>
          <w:rFonts w:ascii="Times New Roman" w:hAnsi="Times New Roman" w:cs="Times New Roman"/>
          <w:noProof/>
          <w:sz w:val="24"/>
          <w:szCs w:val="24"/>
        </w:rPr>
        <w:t xml:space="preserve"> P</w:t>
      </w:r>
      <w:r w:rsidR="00673438" w:rsidRPr="00002BCF">
        <w:rPr>
          <w:rFonts w:ascii="Times New Roman" w:hAnsi="Times New Roman" w:cs="Times New Roman"/>
          <w:noProof/>
          <w:sz w:val="24"/>
          <w:szCs w:val="24"/>
        </w:rPr>
        <w:t>roject</w:t>
      </w:r>
      <w:r w:rsidRPr="00002BCF">
        <w:rPr>
          <w:rFonts w:ascii="Times New Roman" w:hAnsi="Times New Roman" w:cs="Times New Roman"/>
          <w:noProof/>
          <w:sz w:val="24"/>
          <w:szCs w:val="24"/>
        </w:rPr>
        <w:t xml:space="preserve"> G</w:t>
      </w:r>
      <w:r w:rsidR="00673438" w:rsidRPr="00002BCF">
        <w:rPr>
          <w:rFonts w:ascii="Times New Roman" w:hAnsi="Times New Roman" w:cs="Times New Roman"/>
          <w:noProof/>
          <w:sz w:val="24"/>
          <w:szCs w:val="24"/>
        </w:rPr>
        <w:t>roup</w:t>
      </w:r>
      <w:r w:rsidR="00673438">
        <w:rPr>
          <w:rFonts w:ascii="Times New Roman" w:hAnsi="Times New Roman" w:cs="Times New Roman"/>
          <w:noProof/>
          <w:sz w:val="24"/>
          <w:szCs w:val="24"/>
        </w:rPr>
        <w:t>, (2007)</w:t>
      </w:r>
      <w:r w:rsidRPr="00002BCF">
        <w:rPr>
          <w:rFonts w:ascii="Times New Roman" w:hAnsi="Times New Roman" w:cs="Times New Roman"/>
          <w:noProof/>
          <w:sz w:val="24"/>
          <w:szCs w:val="24"/>
        </w:rPr>
        <w:t xml:space="preserve">. OHSAS 18001:2007 Sistema de Gestión en Seguridad y Salud Ocupacional – Requisitos. </w:t>
      </w:r>
      <w:r w:rsidRPr="00002BCF">
        <w:rPr>
          <w:rFonts w:ascii="Times New Roman" w:hAnsi="Times New Roman" w:cs="Times New Roman"/>
          <w:bCs/>
          <w:noProof/>
          <w:sz w:val="24"/>
          <w:szCs w:val="24"/>
        </w:rPr>
        <w:t>OHSAS Project group</w:t>
      </w:r>
      <w:r w:rsidRPr="00002BCF">
        <w:rPr>
          <w:rFonts w:ascii="Times New Roman" w:hAnsi="Times New Roman" w:cs="Times New Roman"/>
          <w:noProof/>
          <w:sz w:val="24"/>
          <w:szCs w:val="24"/>
        </w:rPr>
        <w:t xml:space="preserve">. </w:t>
      </w:r>
    </w:p>
    <w:p w14:paraId="6CA0931A" w14:textId="56CACD12" w:rsidR="001730CC" w:rsidRPr="00673438" w:rsidRDefault="00673438"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Pr>
          <w:rFonts w:ascii="Times New Roman" w:hAnsi="Times New Roman" w:cs="Times New Roman"/>
          <w:noProof/>
          <w:sz w:val="24"/>
          <w:szCs w:val="24"/>
        </w:rPr>
        <w:t>ONU, (1987)</w:t>
      </w:r>
      <w:r w:rsidR="001730CC" w:rsidRPr="00002BCF">
        <w:rPr>
          <w:rFonts w:ascii="Times New Roman" w:hAnsi="Times New Roman" w:cs="Times New Roman"/>
          <w:noProof/>
          <w:sz w:val="24"/>
          <w:szCs w:val="24"/>
        </w:rPr>
        <w:t xml:space="preserve">. Brutland Report: Our Common Future. </w:t>
      </w:r>
      <w:r w:rsidR="001730CC" w:rsidRPr="00673438">
        <w:rPr>
          <w:rFonts w:ascii="Times New Roman" w:hAnsi="Times New Roman" w:cs="Times New Roman"/>
          <w:bCs/>
          <w:noProof/>
          <w:sz w:val="24"/>
          <w:szCs w:val="24"/>
          <w:lang w:val="en-US"/>
        </w:rPr>
        <w:t>World Commission on Environment and Development</w:t>
      </w:r>
      <w:r w:rsidR="001730CC" w:rsidRPr="00673438">
        <w:rPr>
          <w:rFonts w:ascii="Times New Roman" w:hAnsi="Times New Roman" w:cs="Times New Roman"/>
          <w:noProof/>
          <w:sz w:val="24"/>
          <w:szCs w:val="24"/>
          <w:lang w:val="en-US"/>
        </w:rPr>
        <w:t xml:space="preserve">. </w:t>
      </w:r>
    </w:p>
    <w:p w14:paraId="67383F15" w14:textId="4117E776"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002BCF">
        <w:rPr>
          <w:rFonts w:ascii="Times New Roman" w:hAnsi="Times New Roman" w:cs="Times New Roman"/>
          <w:noProof/>
          <w:sz w:val="24"/>
          <w:szCs w:val="24"/>
        </w:rPr>
        <w:t>R</w:t>
      </w:r>
      <w:r w:rsidR="00002BCF" w:rsidRPr="00002BCF">
        <w:rPr>
          <w:rFonts w:ascii="Times New Roman" w:hAnsi="Times New Roman" w:cs="Times New Roman"/>
          <w:noProof/>
          <w:sz w:val="24"/>
          <w:szCs w:val="24"/>
        </w:rPr>
        <w:t>aupp</w:t>
      </w:r>
      <w:r w:rsidRPr="00002BCF">
        <w:rPr>
          <w:rFonts w:ascii="Times New Roman" w:hAnsi="Times New Roman" w:cs="Times New Roman"/>
          <w:noProof/>
          <w:sz w:val="24"/>
          <w:szCs w:val="24"/>
        </w:rPr>
        <w:t>, F. M.; B</w:t>
      </w:r>
      <w:r w:rsidR="00002BCF" w:rsidRPr="00002BCF">
        <w:rPr>
          <w:rFonts w:ascii="Times New Roman" w:hAnsi="Times New Roman" w:cs="Times New Roman"/>
          <w:noProof/>
          <w:sz w:val="24"/>
          <w:szCs w:val="24"/>
        </w:rPr>
        <w:t>euren</w:t>
      </w:r>
      <w:r w:rsidR="00673438">
        <w:rPr>
          <w:rFonts w:ascii="Times New Roman" w:hAnsi="Times New Roman" w:cs="Times New Roman"/>
          <w:noProof/>
          <w:sz w:val="24"/>
          <w:szCs w:val="24"/>
        </w:rPr>
        <w:t>, I. M, (2006).</w:t>
      </w:r>
      <w:r w:rsidRPr="00002BCF">
        <w:rPr>
          <w:rFonts w:ascii="Times New Roman" w:hAnsi="Times New Roman" w:cs="Times New Roman"/>
          <w:noProof/>
          <w:sz w:val="24"/>
          <w:szCs w:val="24"/>
        </w:rPr>
        <w:t xml:space="preserve"> Metodologia da Pesquisa aplicável às ciências sociais. In: ATLAS (Ed.). . </w:t>
      </w:r>
      <w:r w:rsidRPr="00002BCF">
        <w:rPr>
          <w:rFonts w:ascii="Times New Roman" w:hAnsi="Times New Roman" w:cs="Times New Roman"/>
          <w:bCs/>
          <w:noProof/>
          <w:sz w:val="24"/>
          <w:szCs w:val="24"/>
        </w:rPr>
        <w:t>Como elaborar trabalhos monográficos em contabilidade</w:t>
      </w:r>
      <w:r w:rsidRPr="00002BCF">
        <w:rPr>
          <w:rFonts w:ascii="Times New Roman" w:hAnsi="Times New Roman" w:cs="Times New Roman"/>
          <w:noProof/>
          <w:sz w:val="24"/>
          <w:szCs w:val="24"/>
        </w:rPr>
        <w:t xml:space="preserve">. </w:t>
      </w:r>
      <w:r w:rsidRPr="00673438">
        <w:rPr>
          <w:rFonts w:ascii="Times New Roman" w:hAnsi="Times New Roman" w:cs="Times New Roman"/>
          <w:noProof/>
          <w:sz w:val="24"/>
          <w:szCs w:val="24"/>
          <w:lang w:val="en-US"/>
        </w:rPr>
        <w:t>3</w:t>
      </w:r>
      <w:r w:rsidRPr="00673438">
        <w:rPr>
          <w:rFonts w:ascii="Times New Roman" w:hAnsi="Times New Roman" w:cs="Times New Roman"/>
          <w:noProof/>
          <w:sz w:val="24"/>
          <w:szCs w:val="24"/>
          <w:vertAlign w:val="superscript"/>
          <w:lang w:val="en-US"/>
        </w:rPr>
        <w:t>o</w:t>
      </w:r>
      <w:r w:rsidR="00673438" w:rsidRPr="00673438">
        <w:rPr>
          <w:rFonts w:ascii="Times New Roman" w:hAnsi="Times New Roman" w:cs="Times New Roman"/>
          <w:noProof/>
          <w:sz w:val="24"/>
          <w:szCs w:val="24"/>
          <w:lang w:val="en-US"/>
        </w:rPr>
        <w:t xml:space="preserve"> ed.</w:t>
      </w:r>
      <w:r w:rsidRPr="00673438">
        <w:rPr>
          <w:rFonts w:ascii="Times New Roman" w:hAnsi="Times New Roman" w:cs="Times New Roman"/>
          <w:noProof/>
          <w:sz w:val="24"/>
          <w:szCs w:val="24"/>
          <w:lang w:val="en-US"/>
        </w:rPr>
        <w:t xml:space="preserve"> Atlas. </w:t>
      </w:r>
    </w:p>
    <w:p w14:paraId="73D90588" w14:textId="63901A5A"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673438">
        <w:rPr>
          <w:rFonts w:ascii="Times New Roman" w:hAnsi="Times New Roman" w:cs="Times New Roman"/>
          <w:noProof/>
          <w:sz w:val="24"/>
          <w:szCs w:val="24"/>
          <w:lang w:val="en-US"/>
        </w:rPr>
        <w:t>S</w:t>
      </w:r>
      <w:r w:rsidR="00002BCF" w:rsidRPr="00673438">
        <w:rPr>
          <w:rFonts w:ascii="Times New Roman" w:hAnsi="Times New Roman" w:cs="Times New Roman"/>
          <w:noProof/>
          <w:sz w:val="24"/>
          <w:szCs w:val="24"/>
          <w:lang w:val="en-US"/>
        </w:rPr>
        <w:t>aid</w:t>
      </w:r>
      <w:r w:rsidRPr="00673438">
        <w:rPr>
          <w:rFonts w:ascii="Times New Roman" w:hAnsi="Times New Roman" w:cs="Times New Roman"/>
          <w:noProof/>
          <w:sz w:val="24"/>
          <w:szCs w:val="24"/>
          <w:lang w:val="en-US"/>
        </w:rPr>
        <w:t>, I.; O</w:t>
      </w:r>
      <w:r w:rsidR="00002BCF" w:rsidRPr="00673438">
        <w:rPr>
          <w:rFonts w:ascii="Times New Roman" w:hAnsi="Times New Roman" w:cs="Times New Roman"/>
          <w:noProof/>
          <w:sz w:val="24"/>
          <w:szCs w:val="24"/>
          <w:lang w:val="en-US"/>
        </w:rPr>
        <w:t>sman</w:t>
      </w:r>
      <w:r w:rsidRPr="00673438">
        <w:rPr>
          <w:rFonts w:ascii="Times New Roman" w:hAnsi="Times New Roman" w:cs="Times New Roman"/>
          <w:noProof/>
          <w:sz w:val="24"/>
          <w:szCs w:val="24"/>
          <w:lang w:val="en-US"/>
        </w:rPr>
        <w:t>, O.; S</w:t>
      </w:r>
      <w:r w:rsidR="00002BCF" w:rsidRPr="00673438">
        <w:rPr>
          <w:rFonts w:ascii="Times New Roman" w:hAnsi="Times New Roman" w:cs="Times New Roman"/>
          <w:noProof/>
          <w:sz w:val="24"/>
          <w:szCs w:val="24"/>
          <w:lang w:val="en-US"/>
        </w:rPr>
        <w:t>hafiei</w:t>
      </w:r>
      <w:r w:rsidR="00673438">
        <w:rPr>
          <w:rFonts w:ascii="Times New Roman" w:hAnsi="Times New Roman" w:cs="Times New Roman"/>
          <w:noProof/>
          <w:sz w:val="24"/>
          <w:szCs w:val="24"/>
          <w:lang w:val="en-US"/>
        </w:rPr>
        <w:t>, M, (2009).</w:t>
      </w:r>
      <w:r w:rsidRPr="00673438">
        <w:rPr>
          <w:rFonts w:ascii="Times New Roman" w:hAnsi="Times New Roman" w:cs="Times New Roman"/>
          <w:noProof/>
          <w:sz w:val="24"/>
          <w:szCs w:val="24"/>
          <w:lang w:val="en-US"/>
        </w:rPr>
        <w:t xml:space="preserve"> Sustainability in the Housing Development Among Construction Industry Players in Malaysia. </w:t>
      </w:r>
      <w:r w:rsidR="00673438">
        <w:rPr>
          <w:rFonts w:ascii="Times New Roman" w:hAnsi="Times New Roman" w:cs="Times New Roman"/>
          <w:bCs/>
          <w:noProof/>
          <w:sz w:val="24"/>
          <w:szCs w:val="24"/>
        </w:rPr>
        <w:t>The Journal of Global</w:t>
      </w:r>
      <w:r w:rsidRPr="00002BCF">
        <w:rPr>
          <w:rFonts w:ascii="Times New Roman" w:hAnsi="Times New Roman" w:cs="Times New Roman"/>
          <w:noProof/>
          <w:sz w:val="24"/>
          <w:szCs w:val="24"/>
        </w:rPr>
        <w:t xml:space="preserve">. </w:t>
      </w:r>
    </w:p>
    <w:p w14:paraId="67B62ABD" w14:textId="68FB5BD0"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szCs w:val="24"/>
        </w:rPr>
      </w:pPr>
      <w:r w:rsidRPr="00002BCF">
        <w:rPr>
          <w:rFonts w:ascii="Times New Roman" w:hAnsi="Times New Roman" w:cs="Times New Roman"/>
          <w:noProof/>
          <w:sz w:val="24"/>
          <w:szCs w:val="24"/>
        </w:rPr>
        <w:lastRenderedPageBreak/>
        <w:t>S</w:t>
      </w:r>
      <w:r w:rsidR="00002BCF" w:rsidRPr="00002BCF">
        <w:rPr>
          <w:rFonts w:ascii="Times New Roman" w:hAnsi="Times New Roman" w:cs="Times New Roman"/>
          <w:noProof/>
          <w:sz w:val="24"/>
          <w:szCs w:val="24"/>
        </w:rPr>
        <w:t>ierra</w:t>
      </w:r>
      <w:r w:rsidRPr="00002BCF">
        <w:rPr>
          <w:rFonts w:ascii="Times New Roman" w:hAnsi="Times New Roman" w:cs="Times New Roman"/>
          <w:noProof/>
          <w:sz w:val="24"/>
          <w:szCs w:val="24"/>
        </w:rPr>
        <w:t>, L. A.; P</w:t>
      </w:r>
      <w:r w:rsidR="00002BCF" w:rsidRPr="00002BCF">
        <w:rPr>
          <w:rFonts w:ascii="Times New Roman" w:hAnsi="Times New Roman" w:cs="Times New Roman"/>
          <w:noProof/>
          <w:sz w:val="24"/>
          <w:szCs w:val="24"/>
        </w:rPr>
        <w:t>ellicer</w:t>
      </w:r>
      <w:r w:rsidRPr="00002BCF">
        <w:rPr>
          <w:rFonts w:ascii="Times New Roman" w:hAnsi="Times New Roman" w:cs="Times New Roman"/>
          <w:noProof/>
          <w:sz w:val="24"/>
          <w:szCs w:val="24"/>
        </w:rPr>
        <w:t>, E.; Y</w:t>
      </w:r>
      <w:r w:rsidR="00002BCF" w:rsidRPr="00002BCF">
        <w:rPr>
          <w:rFonts w:ascii="Times New Roman" w:hAnsi="Times New Roman" w:cs="Times New Roman"/>
          <w:noProof/>
          <w:sz w:val="24"/>
          <w:szCs w:val="24"/>
        </w:rPr>
        <w:t>epes</w:t>
      </w:r>
      <w:r w:rsidR="00673438">
        <w:rPr>
          <w:rFonts w:ascii="Times New Roman" w:hAnsi="Times New Roman" w:cs="Times New Roman"/>
          <w:noProof/>
          <w:sz w:val="24"/>
          <w:szCs w:val="24"/>
        </w:rPr>
        <w:t>, V, (2015)</w:t>
      </w:r>
      <w:r w:rsidRPr="00002BCF">
        <w:rPr>
          <w:rFonts w:ascii="Times New Roman" w:hAnsi="Times New Roman" w:cs="Times New Roman"/>
          <w:noProof/>
          <w:sz w:val="24"/>
          <w:szCs w:val="24"/>
        </w:rPr>
        <w:t xml:space="preserve"> Social Sustainability in the Lifecycle of Chilean Public Infrastructure. </w:t>
      </w:r>
      <w:r w:rsidRPr="00002BCF">
        <w:rPr>
          <w:rFonts w:ascii="Times New Roman" w:hAnsi="Times New Roman" w:cs="Times New Roman"/>
          <w:bCs/>
          <w:noProof/>
          <w:sz w:val="24"/>
          <w:szCs w:val="24"/>
        </w:rPr>
        <w:t>Journal of Construction Engineering and Management</w:t>
      </w:r>
      <w:r w:rsidRPr="00002BCF">
        <w:rPr>
          <w:rFonts w:ascii="Times New Roman" w:hAnsi="Times New Roman" w:cs="Times New Roman"/>
          <w:noProof/>
          <w:sz w:val="24"/>
          <w:szCs w:val="24"/>
        </w:rPr>
        <w:t xml:space="preserve">, v. 142, n. 5, p. 05015020. </w:t>
      </w:r>
    </w:p>
    <w:p w14:paraId="52928A12" w14:textId="2A060752" w:rsidR="001730CC" w:rsidRPr="00673438" w:rsidRDefault="001730CC" w:rsidP="00002BCF">
      <w:pPr>
        <w:widowControl w:val="0"/>
        <w:autoSpaceDE w:val="0"/>
        <w:autoSpaceDN w:val="0"/>
        <w:adjustRightInd w:val="0"/>
        <w:spacing w:line="240" w:lineRule="auto"/>
        <w:jc w:val="left"/>
        <w:rPr>
          <w:rFonts w:ascii="Times New Roman" w:hAnsi="Times New Roman" w:cs="Times New Roman"/>
          <w:noProof/>
          <w:sz w:val="24"/>
          <w:szCs w:val="24"/>
          <w:lang w:val="en-US"/>
        </w:rPr>
      </w:pPr>
      <w:r w:rsidRPr="00673438">
        <w:rPr>
          <w:rFonts w:ascii="Times New Roman" w:hAnsi="Times New Roman" w:cs="Times New Roman"/>
          <w:noProof/>
          <w:sz w:val="24"/>
          <w:szCs w:val="24"/>
          <w:lang w:val="en-US"/>
        </w:rPr>
        <w:t>US C</w:t>
      </w:r>
      <w:r w:rsidR="00002BCF" w:rsidRPr="00673438">
        <w:rPr>
          <w:rFonts w:ascii="Times New Roman" w:hAnsi="Times New Roman" w:cs="Times New Roman"/>
          <w:noProof/>
          <w:sz w:val="24"/>
          <w:szCs w:val="24"/>
          <w:lang w:val="en-US"/>
        </w:rPr>
        <w:t>ongress</w:t>
      </w:r>
      <w:r w:rsidR="00673438" w:rsidRPr="00673438">
        <w:rPr>
          <w:rFonts w:ascii="Times New Roman" w:hAnsi="Times New Roman" w:cs="Times New Roman"/>
          <w:noProof/>
          <w:sz w:val="24"/>
          <w:szCs w:val="24"/>
          <w:lang w:val="en-US"/>
        </w:rPr>
        <w:t>, (1969).</w:t>
      </w:r>
      <w:r w:rsidRPr="00673438">
        <w:rPr>
          <w:rFonts w:ascii="Times New Roman" w:hAnsi="Times New Roman" w:cs="Times New Roman"/>
          <w:noProof/>
          <w:sz w:val="24"/>
          <w:szCs w:val="24"/>
          <w:lang w:val="en-US"/>
        </w:rPr>
        <w:t xml:space="preserve"> National Environmental Policy Act of 1969 , as amended. </w:t>
      </w:r>
      <w:r w:rsidRPr="00673438">
        <w:rPr>
          <w:rFonts w:ascii="Times New Roman" w:hAnsi="Times New Roman" w:cs="Times New Roman"/>
          <w:bCs/>
          <w:noProof/>
          <w:sz w:val="24"/>
          <w:szCs w:val="24"/>
          <w:lang w:val="en-US"/>
        </w:rPr>
        <w:t>Bill</w:t>
      </w:r>
      <w:r w:rsidR="00673438">
        <w:rPr>
          <w:rFonts w:ascii="Times New Roman" w:hAnsi="Times New Roman" w:cs="Times New Roman"/>
          <w:noProof/>
          <w:sz w:val="24"/>
          <w:szCs w:val="24"/>
          <w:lang w:val="en-US"/>
        </w:rPr>
        <w:t>, v. 4, p. 9</w:t>
      </w:r>
      <w:r w:rsidRPr="00673438">
        <w:rPr>
          <w:rFonts w:ascii="Times New Roman" w:hAnsi="Times New Roman" w:cs="Times New Roman"/>
          <w:noProof/>
          <w:sz w:val="24"/>
          <w:szCs w:val="24"/>
          <w:lang w:val="en-US"/>
        </w:rPr>
        <w:t xml:space="preserve">. </w:t>
      </w:r>
    </w:p>
    <w:p w14:paraId="5AC7C694" w14:textId="38DC1EE7" w:rsidR="001730CC" w:rsidRPr="00002BCF" w:rsidRDefault="001730CC" w:rsidP="00002BCF">
      <w:pPr>
        <w:widowControl w:val="0"/>
        <w:autoSpaceDE w:val="0"/>
        <w:autoSpaceDN w:val="0"/>
        <w:adjustRightInd w:val="0"/>
        <w:spacing w:line="240" w:lineRule="auto"/>
        <w:jc w:val="left"/>
        <w:rPr>
          <w:rFonts w:ascii="Times New Roman" w:hAnsi="Times New Roman" w:cs="Times New Roman"/>
          <w:noProof/>
          <w:sz w:val="24"/>
        </w:rPr>
      </w:pPr>
      <w:r w:rsidRPr="00673438">
        <w:rPr>
          <w:rFonts w:ascii="Times New Roman" w:hAnsi="Times New Roman" w:cs="Times New Roman"/>
          <w:noProof/>
          <w:sz w:val="24"/>
          <w:szCs w:val="24"/>
          <w:lang w:val="en-US"/>
        </w:rPr>
        <w:t>W</w:t>
      </w:r>
      <w:r w:rsidR="00002BCF" w:rsidRPr="00673438">
        <w:rPr>
          <w:rFonts w:ascii="Times New Roman" w:hAnsi="Times New Roman" w:cs="Times New Roman"/>
          <w:noProof/>
          <w:sz w:val="24"/>
          <w:szCs w:val="24"/>
          <w:lang w:val="en-US"/>
        </w:rPr>
        <w:t>ood</w:t>
      </w:r>
      <w:r w:rsidRPr="00673438">
        <w:rPr>
          <w:rFonts w:ascii="Times New Roman" w:hAnsi="Times New Roman" w:cs="Times New Roman"/>
          <w:noProof/>
          <w:sz w:val="24"/>
          <w:szCs w:val="24"/>
          <w:lang w:val="en-US"/>
        </w:rPr>
        <w:t>, G.; M</w:t>
      </w:r>
      <w:r w:rsidR="00002BCF" w:rsidRPr="00673438">
        <w:rPr>
          <w:rFonts w:ascii="Times New Roman" w:hAnsi="Times New Roman" w:cs="Times New Roman"/>
          <w:noProof/>
          <w:sz w:val="24"/>
          <w:szCs w:val="24"/>
          <w:lang w:val="en-US"/>
        </w:rPr>
        <w:t>c</w:t>
      </w:r>
      <w:r w:rsidRPr="00673438">
        <w:rPr>
          <w:rFonts w:ascii="Times New Roman" w:hAnsi="Times New Roman" w:cs="Times New Roman"/>
          <w:noProof/>
          <w:sz w:val="24"/>
          <w:szCs w:val="24"/>
          <w:lang w:val="en-US"/>
        </w:rPr>
        <w:t>D</w:t>
      </w:r>
      <w:r w:rsidR="00002BCF" w:rsidRPr="00673438">
        <w:rPr>
          <w:rFonts w:ascii="Times New Roman" w:hAnsi="Times New Roman" w:cs="Times New Roman"/>
          <w:noProof/>
          <w:sz w:val="24"/>
          <w:szCs w:val="24"/>
          <w:lang w:val="en-US"/>
        </w:rPr>
        <w:t>ermott</w:t>
      </w:r>
      <w:r w:rsidRPr="00673438">
        <w:rPr>
          <w:rFonts w:ascii="Times New Roman" w:hAnsi="Times New Roman" w:cs="Times New Roman"/>
          <w:noProof/>
          <w:sz w:val="24"/>
          <w:szCs w:val="24"/>
          <w:lang w:val="en-US"/>
        </w:rPr>
        <w:t>, P.; S</w:t>
      </w:r>
      <w:r w:rsidR="00673438" w:rsidRPr="00673438">
        <w:rPr>
          <w:rFonts w:ascii="Times New Roman" w:hAnsi="Times New Roman" w:cs="Times New Roman"/>
          <w:noProof/>
          <w:sz w:val="24"/>
          <w:szCs w:val="24"/>
          <w:lang w:val="en-US"/>
        </w:rPr>
        <w:t>wan</w:t>
      </w:r>
      <w:r w:rsidR="00673438">
        <w:rPr>
          <w:rFonts w:ascii="Times New Roman" w:hAnsi="Times New Roman" w:cs="Times New Roman"/>
          <w:noProof/>
          <w:sz w:val="24"/>
          <w:szCs w:val="24"/>
          <w:lang w:val="en-US"/>
        </w:rPr>
        <w:t>, W, (2002).</w:t>
      </w:r>
      <w:r w:rsidRPr="00673438">
        <w:rPr>
          <w:rFonts w:ascii="Times New Roman" w:hAnsi="Times New Roman" w:cs="Times New Roman"/>
          <w:noProof/>
          <w:sz w:val="24"/>
          <w:szCs w:val="24"/>
          <w:lang w:val="en-US"/>
        </w:rPr>
        <w:t xml:space="preserve"> The ethical benefits of trust‐based partnering: the example of the construction industry. </w:t>
      </w:r>
      <w:r w:rsidRPr="00002BCF">
        <w:rPr>
          <w:rFonts w:ascii="Times New Roman" w:hAnsi="Times New Roman" w:cs="Times New Roman"/>
          <w:bCs/>
          <w:noProof/>
          <w:sz w:val="24"/>
          <w:szCs w:val="24"/>
        </w:rPr>
        <w:t>Business Ethics: A European Review</w:t>
      </w:r>
      <w:r w:rsidRPr="00002BCF">
        <w:rPr>
          <w:rFonts w:ascii="Times New Roman" w:hAnsi="Times New Roman" w:cs="Times New Roman"/>
          <w:noProof/>
          <w:sz w:val="24"/>
          <w:szCs w:val="24"/>
        </w:rPr>
        <w:t xml:space="preserve">, v. 11, n. 1, p. 4–13. </w:t>
      </w:r>
      <w:bookmarkStart w:id="6" w:name="_GoBack"/>
      <w:bookmarkEnd w:id="6"/>
    </w:p>
    <w:p w14:paraId="42EF7F63" w14:textId="5937D257" w:rsidR="002D2795" w:rsidRPr="002E467B" w:rsidRDefault="002D2795" w:rsidP="00002BCF">
      <w:pPr>
        <w:widowControl w:val="0"/>
        <w:autoSpaceDE w:val="0"/>
        <w:autoSpaceDN w:val="0"/>
        <w:adjustRightInd w:val="0"/>
        <w:spacing w:line="240" w:lineRule="auto"/>
        <w:jc w:val="left"/>
        <w:rPr>
          <w:rFonts w:ascii="Times New Roman" w:hAnsi="Times New Roman" w:cs="Times New Roman"/>
          <w:b/>
          <w:sz w:val="24"/>
          <w:szCs w:val="24"/>
        </w:rPr>
      </w:pPr>
      <w:r w:rsidRPr="00002BCF">
        <w:rPr>
          <w:rFonts w:ascii="Times New Roman" w:hAnsi="Times New Roman" w:cs="Times New Roman"/>
          <w:sz w:val="24"/>
          <w:szCs w:val="24"/>
        </w:rPr>
        <w:fldChar w:fldCharType="end"/>
      </w:r>
    </w:p>
    <w:sectPr w:rsidR="002D2795" w:rsidRPr="002E46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93F46" w14:textId="77777777" w:rsidR="00814F30" w:rsidRDefault="00814F30" w:rsidP="00436224">
      <w:pPr>
        <w:spacing w:after="0" w:line="240" w:lineRule="auto"/>
      </w:pPr>
      <w:r>
        <w:separator/>
      </w:r>
    </w:p>
  </w:endnote>
  <w:endnote w:type="continuationSeparator" w:id="0">
    <w:p w14:paraId="00EA77D7" w14:textId="77777777" w:rsidR="00814F30" w:rsidRDefault="00814F30" w:rsidP="00436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54CCB" w14:textId="77777777" w:rsidR="00814F30" w:rsidRDefault="00814F30" w:rsidP="00436224">
      <w:pPr>
        <w:spacing w:after="0" w:line="240" w:lineRule="auto"/>
      </w:pPr>
      <w:r>
        <w:separator/>
      </w:r>
    </w:p>
  </w:footnote>
  <w:footnote w:type="continuationSeparator" w:id="0">
    <w:p w14:paraId="5BB1ABE1" w14:textId="77777777" w:rsidR="00814F30" w:rsidRDefault="00814F30" w:rsidP="00436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46425"/>
    <w:multiLevelType w:val="hybridMultilevel"/>
    <w:tmpl w:val="46AE0A22"/>
    <w:lvl w:ilvl="0" w:tplc="0416000F">
      <w:start w:val="1"/>
      <w:numFmt w:val="decimal"/>
      <w:lvlText w:val="%1."/>
      <w:lvlJc w:val="left"/>
      <w:pPr>
        <w:ind w:left="780" w:hanging="360"/>
      </w:pPr>
    </w:lvl>
    <w:lvl w:ilvl="1" w:tplc="04160019">
      <w:start w:val="1"/>
      <w:numFmt w:val="lowerLetter"/>
      <w:lvlText w:val="%2."/>
      <w:lvlJc w:val="left"/>
      <w:pPr>
        <w:ind w:left="1500" w:hanging="360"/>
      </w:pPr>
    </w:lvl>
    <w:lvl w:ilvl="2" w:tplc="0416001B">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24"/>
    <w:rsid w:val="00002BCF"/>
    <w:rsid w:val="00044436"/>
    <w:rsid w:val="000924EB"/>
    <w:rsid w:val="00130F23"/>
    <w:rsid w:val="001730CC"/>
    <w:rsid w:val="001B4D2F"/>
    <w:rsid w:val="001E61DD"/>
    <w:rsid w:val="0020777D"/>
    <w:rsid w:val="00234430"/>
    <w:rsid w:val="002745DF"/>
    <w:rsid w:val="002B71D2"/>
    <w:rsid w:val="002D2795"/>
    <w:rsid w:val="002E467B"/>
    <w:rsid w:val="002E78C1"/>
    <w:rsid w:val="00362745"/>
    <w:rsid w:val="00373506"/>
    <w:rsid w:val="00436224"/>
    <w:rsid w:val="004F1878"/>
    <w:rsid w:val="004F3A42"/>
    <w:rsid w:val="005053E1"/>
    <w:rsid w:val="00573BB9"/>
    <w:rsid w:val="00576930"/>
    <w:rsid w:val="005C255C"/>
    <w:rsid w:val="005E03C0"/>
    <w:rsid w:val="00650733"/>
    <w:rsid w:val="00664B58"/>
    <w:rsid w:val="00673438"/>
    <w:rsid w:val="00734DCA"/>
    <w:rsid w:val="00761BDE"/>
    <w:rsid w:val="0078005F"/>
    <w:rsid w:val="00792348"/>
    <w:rsid w:val="007D0059"/>
    <w:rsid w:val="00814F30"/>
    <w:rsid w:val="0083391F"/>
    <w:rsid w:val="00844761"/>
    <w:rsid w:val="008D55F0"/>
    <w:rsid w:val="009A7466"/>
    <w:rsid w:val="009C6AD3"/>
    <w:rsid w:val="00B95283"/>
    <w:rsid w:val="00C019D8"/>
    <w:rsid w:val="00CA378A"/>
    <w:rsid w:val="00CE41D3"/>
    <w:rsid w:val="00CE5298"/>
    <w:rsid w:val="00D16F7B"/>
    <w:rsid w:val="00D22D69"/>
    <w:rsid w:val="00D22EFF"/>
    <w:rsid w:val="00DC666A"/>
    <w:rsid w:val="00E3173E"/>
    <w:rsid w:val="00E3547E"/>
    <w:rsid w:val="00E7031E"/>
    <w:rsid w:val="00F20AD7"/>
    <w:rsid w:val="00F23C2A"/>
    <w:rsid w:val="00F70A63"/>
    <w:rsid w:val="00F92A2D"/>
    <w:rsid w:val="00F94E48"/>
    <w:rsid w:val="00FB0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F955C"/>
  <w15:chartTrackingRefBased/>
  <w15:docId w15:val="{68022C65-8779-40A2-8287-AE33A7A1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224"/>
    <w:pPr>
      <w:spacing w:line="360" w:lineRule="auto"/>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362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36224"/>
  </w:style>
  <w:style w:type="paragraph" w:styleId="Rodap">
    <w:name w:val="footer"/>
    <w:basedOn w:val="Normal"/>
    <w:link w:val="RodapChar"/>
    <w:uiPriority w:val="99"/>
    <w:unhideWhenUsed/>
    <w:rsid w:val="00436224"/>
    <w:pPr>
      <w:tabs>
        <w:tab w:val="center" w:pos="4252"/>
        <w:tab w:val="right" w:pos="8504"/>
      </w:tabs>
      <w:spacing w:after="0" w:line="240" w:lineRule="auto"/>
    </w:pPr>
  </w:style>
  <w:style w:type="character" w:customStyle="1" w:styleId="RodapChar">
    <w:name w:val="Rodapé Char"/>
    <w:basedOn w:val="Fontepargpadro"/>
    <w:link w:val="Rodap"/>
    <w:uiPriority w:val="99"/>
    <w:rsid w:val="00436224"/>
  </w:style>
  <w:style w:type="character" w:styleId="Hyperlink">
    <w:name w:val="Hyperlink"/>
    <w:basedOn w:val="Fontepargpadro"/>
    <w:uiPriority w:val="99"/>
    <w:unhideWhenUsed/>
    <w:rsid w:val="00436224"/>
    <w:rPr>
      <w:color w:val="0563C1" w:themeColor="hyperlink"/>
      <w:u w:val="single"/>
    </w:rPr>
  </w:style>
  <w:style w:type="character" w:styleId="Refdecomentrio">
    <w:name w:val="annotation reference"/>
    <w:basedOn w:val="Fontepargpadro"/>
    <w:semiHidden/>
    <w:unhideWhenUsed/>
    <w:rsid w:val="004F3A42"/>
    <w:rPr>
      <w:sz w:val="16"/>
      <w:szCs w:val="16"/>
    </w:rPr>
  </w:style>
  <w:style w:type="paragraph" w:styleId="Textodecomentrio">
    <w:name w:val="annotation text"/>
    <w:basedOn w:val="Normal"/>
    <w:link w:val="TextodecomentrioChar"/>
    <w:semiHidden/>
    <w:unhideWhenUsed/>
    <w:rsid w:val="004F3A42"/>
    <w:pPr>
      <w:spacing w:line="240" w:lineRule="auto"/>
    </w:pPr>
    <w:rPr>
      <w:sz w:val="20"/>
      <w:szCs w:val="20"/>
    </w:rPr>
  </w:style>
  <w:style w:type="character" w:customStyle="1" w:styleId="TextodecomentrioChar">
    <w:name w:val="Texto de comentário Char"/>
    <w:basedOn w:val="Fontepargpadro"/>
    <w:link w:val="Textodecomentrio"/>
    <w:semiHidden/>
    <w:rsid w:val="004F3A42"/>
    <w:rPr>
      <w:sz w:val="20"/>
      <w:szCs w:val="20"/>
    </w:rPr>
  </w:style>
  <w:style w:type="paragraph" w:styleId="Assuntodocomentrio">
    <w:name w:val="annotation subject"/>
    <w:basedOn w:val="Textodecomentrio"/>
    <w:next w:val="Textodecomentrio"/>
    <w:link w:val="AssuntodocomentrioChar"/>
    <w:uiPriority w:val="99"/>
    <w:semiHidden/>
    <w:unhideWhenUsed/>
    <w:rsid w:val="004F3A42"/>
    <w:rPr>
      <w:b/>
      <w:bCs/>
    </w:rPr>
  </w:style>
  <w:style w:type="character" w:customStyle="1" w:styleId="AssuntodocomentrioChar">
    <w:name w:val="Assunto do comentário Char"/>
    <w:basedOn w:val="TextodecomentrioChar"/>
    <w:link w:val="Assuntodocomentrio"/>
    <w:uiPriority w:val="99"/>
    <w:semiHidden/>
    <w:rsid w:val="004F3A42"/>
    <w:rPr>
      <w:b/>
      <w:bCs/>
      <w:sz w:val="20"/>
      <w:szCs w:val="20"/>
    </w:rPr>
  </w:style>
  <w:style w:type="paragraph" w:styleId="Textodebalo">
    <w:name w:val="Balloon Text"/>
    <w:basedOn w:val="Normal"/>
    <w:link w:val="TextodebaloChar"/>
    <w:uiPriority w:val="99"/>
    <w:semiHidden/>
    <w:unhideWhenUsed/>
    <w:rsid w:val="004F3A4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F3A42"/>
    <w:rPr>
      <w:rFonts w:ascii="Segoe UI" w:hAnsi="Segoe UI" w:cs="Segoe UI"/>
      <w:sz w:val="18"/>
      <w:szCs w:val="18"/>
    </w:rPr>
  </w:style>
  <w:style w:type="paragraph" w:customStyle="1" w:styleId="Figura">
    <w:name w:val="Figura"/>
    <w:basedOn w:val="Normal"/>
    <w:link w:val="FiguraChar"/>
    <w:qFormat/>
    <w:rsid w:val="00D22D69"/>
    <w:pPr>
      <w:spacing w:after="0"/>
    </w:pPr>
    <w:rPr>
      <w:rFonts w:ascii="Times New Roman" w:eastAsia="Times New Roman" w:hAnsi="Times New Roman" w:cs="Times New Roman"/>
      <w:szCs w:val="24"/>
      <w:lang w:eastAsia="pt-BR"/>
    </w:rPr>
  </w:style>
  <w:style w:type="character" w:customStyle="1" w:styleId="FiguraChar">
    <w:name w:val="Figura Char"/>
    <w:link w:val="Figura"/>
    <w:rsid w:val="00D22D69"/>
    <w:rPr>
      <w:rFonts w:ascii="Times New Roman" w:eastAsia="Times New Roman" w:hAnsi="Times New Roman" w:cs="Times New Roman"/>
      <w:szCs w:val="24"/>
      <w:lang w:eastAsia="pt-BR"/>
    </w:rPr>
  </w:style>
  <w:style w:type="paragraph" w:styleId="PargrafodaLista">
    <w:name w:val="List Paragraph"/>
    <w:basedOn w:val="Normal"/>
    <w:uiPriority w:val="34"/>
    <w:qFormat/>
    <w:rsid w:val="00D22EFF"/>
    <w:pPr>
      <w:ind w:left="720"/>
      <w:contextualSpacing/>
    </w:pPr>
  </w:style>
  <w:style w:type="paragraph" w:styleId="NormalWeb">
    <w:name w:val="Normal (Web)"/>
    <w:basedOn w:val="Normal"/>
    <w:uiPriority w:val="99"/>
    <w:semiHidden/>
    <w:unhideWhenUsed/>
    <w:rsid w:val="00B95283"/>
    <w:pPr>
      <w:spacing w:before="100" w:beforeAutospacing="1" w:after="100" w:afterAutospacing="1" w:line="240" w:lineRule="auto"/>
      <w:jc w:val="left"/>
    </w:pPr>
    <w:rPr>
      <w:rFonts w:ascii="Times New Roman" w:eastAsiaTheme="minorEastAsia" w:hAnsi="Times New Roman" w:cs="Times New Roman"/>
      <w:sz w:val="24"/>
      <w:szCs w:val="24"/>
      <w:lang w:eastAsia="pt-BR"/>
    </w:rPr>
  </w:style>
  <w:style w:type="paragraph" w:styleId="Legenda">
    <w:name w:val="caption"/>
    <w:basedOn w:val="Normal"/>
    <w:next w:val="Normal"/>
    <w:uiPriority w:val="35"/>
    <w:semiHidden/>
    <w:unhideWhenUsed/>
    <w:qFormat/>
    <w:rsid w:val="00F92A2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37218">
      <w:bodyDiv w:val="1"/>
      <w:marLeft w:val="0"/>
      <w:marRight w:val="0"/>
      <w:marTop w:val="0"/>
      <w:marBottom w:val="0"/>
      <w:divBdr>
        <w:top w:val="none" w:sz="0" w:space="0" w:color="auto"/>
        <w:left w:val="none" w:sz="0" w:space="0" w:color="auto"/>
        <w:bottom w:val="none" w:sz="0" w:space="0" w:color="auto"/>
        <w:right w:val="none" w:sz="0" w:space="0" w:color="auto"/>
      </w:divBdr>
    </w:div>
    <w:div w:id="1881549053">
      <w:bodyDiv w:val="1"/>
      <w:marLeft w:val="0"/>
      <w:marRight w:val="0"/>
      <w:marTop w:val="0"/>
      <w:marBottom w:val="0"/>
      <w:divBdr>
        <w:top w:val="none" w:sz="0" w:space="0" w:color="auto"/>
        <w:left w:val="none" w:sz="0" w:space="0" w:color="auto"/>
        <w:bottom w:val="none" w:sz="0" w:space="0" w:color="auto"/>
        <w:right w:val="none" w:sz="0" w:space="0" w:color="auto"/>
      </w:divBdr>
    </w:div>
    <w:div w:id="200697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eorge\Desktop\Empresas%20Ademi%20P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eorge\Desktop\Empresas%20Ademi%20P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649-43CD-BFD4-DC8A218EFBF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649-43CD-BFD4-DC8A218EFBF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649-43CD-BFD4-DC8A218EFBF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649-43CD-BFD4-DC8A218EFBF1}"/>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5649-43CD-BFD4-DC8A218EFBF1}"/>
              </c:ext>
            </c:extLst>
          </c:dPt>
          <c:dLbls>
            <c:dLbl>
              <c:idx val="0"/>
              <c:layout>
                <c:manualLayout>
                  <c:x val="7.9996937882764657E-2"/>
                  <c:y val="-0.1734806065908428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49-43CD-BFD4-DC8A218EFBF1}"/>
                </c:ext>
              </c:extLst>
            </c:dLbl>
            <c:dLbl>
              <c:idx val="1"/>
              <c:layout>
                <c:manualLayout>
                  <c:x val="2.0743657042869641E-3"/>
                  <c:y val="0.1488819626713327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15288713910762"/>
                      <c:h val="0.24805555555555556"/>
                    </c:manualLayout>
                  </c15:layout>
                </c:ext>
                <c:ext xmlns:c16="http://schemas.microsoft.com/office/drawing/2014/chart" uri="{C3380CC4-5D6E-409C-BE32-E72D297353CC}">
                  <c16:uniqueId val="{00000003-5649-43CD-BFD4-DC8A218EFBF1}"/>
                </c:ext>
              </c:extLst>
            </c:dLbl>
            <c:dLbl>
              <c:idx val="2"/>
              <c:layout>
                <c:manualLayout>
                  <c:x val="-5.938713910761155E-2"/>
                  <c:y val="5.85535141440653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649-43CD-BFD4-DC8A218EFBF1}"/>
                </c:ext>
              </c:extLst>
            </c:dLbl>
            <c:dLbl>
              <c:idx val="3"/>
              <c:layout>
                <c:manualLayout>
                  <c:x val="-6.2246281714785655E-2"/>
                  <c:y val="6.06601778944298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649-43CD-BFD4-DC8A218EFBF1}"/>
                </c:ext>
              </c:extLst>
            </c:dLbl>
            <c:dLbl>
              <c:idx val="4"/>
              <c:layout>
                <c:manualLayout>
                  <c:x val="-6.5793525809273862E-2"/>
                  <c:y val="3.253135024788568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649-43CD-BFD4-DC8A218EFBF1}"/>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Planilha1!$A$8:$A$12</c:f>
              <c:strCache>
                <c:ptCount val="5"/>
                <c:pt idx="0">
                  <c:v>Construtora de Edifícios</c:v>
                </c:pt>
                <c:pt idx="1">
                  <c:v>Imobiliárias ou gerenciadoras</c:v>
                </c:pt>
                <c:pt idx="2">
                  <c:v>Residenciais</c:v>
                </c:pt>
                <c:pt idx="3">
                  <c:v>Atuação fora da RMR</c:v>
                </c:pt>
                <c:pt idx="4">
                  <c:v>Prestadoras de serviço</c:v>
                </c:pt>
              </c:strCache>
            </c:strRef>
          </c:cat>
          <c:val>
            <c:numRef>
              <c:f>Planilha1!$B$8:$B$12</c:f>
              <c:numCache>
                <c:formatCode>General</c:formatCode>
                <c:ptCount val="5"/>
                <c:pt idx="0">
                  <c:v>69</c:v>
                </c:pt>
                <c:pt idx="1">
                  <c:v>5</c:v>
                </c:pt>
                <c:pt idx="2">
                  <c:v>3</c:v>
                </c:pt>
                <c:pt idx="3">
                  <c:v>7</c:v>
                </c:pt>
                <c:pt idx="4">
                  <c:v>12</c:v>
                </c:pt>
              </c:numCache>
            </c:numRef>
          </c:val>
          <c:extLst>
            <c:ext xmlns:c16="http://schemas.microsoft.com/office/drawing/2014/chart" uri="{C3380CC4-5D6E-409C-BE32-E72D297353CC}">
              <c16:uniqueId val="{0000000A-5649-43CD-BFD4-DC8A218EFBF1}"/>
            </c:ext>
          </c:extLst>
        </c:ser>
        <c:dLbls>
          <c:dLblPos val="in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4C1-4A7B-917B-F40B37C49E5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4C1-4A7B-917B-F40B37C49E5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4C1-4A7B-917B-F40B37C49E56}"/>
              </c:ext>
            </c:extLst>
          </c:dPt>
          <c:dLbls>
            <c:dLbl>
              <c:idx val="0"/>
              <c:layout>
                <c:manualLayout>
                  <c:x val="3.0247156605423303E-3"/>
                  <c:y val="-7.04680664916885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4C1-4A7B-917B-F40B37C49E56}"/>
                </c:ext>
              </c:extLst>
            </c:dLbl>
            <c:dLbl>
              <c:idx val="1"/>
              <c:layout>
                <c:manualLayout>
                  <c:x val="-2.5478346456692925E-2"/>
                  <c:y val="0.139110892388451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4C1-4A7B-917B-F40B37C49E56}"/>
                </c:ext>
              </c:extLst>
            </c:dLbl>
            <c:dLbl>
              <c:idx val="2"/>
              <c:layout>
                <c:manualLayout>
                  <c:x val="-0.19022944006999129"/>
                  <c:y val="3.191163604549431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4C1-4A7B-917B-F40B37C49E56}"/>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Planilha1!$A$5:$A$7</c:f>
              <c:strCache>
                <c:ptCount val="3"/>
                <c:pt idx="0">
                  <c:v>Pequeno Porte</c:v>
                </c:pt>
                <c:pt idx="1">
                  <c:v>Médio Porte</c:v>
                </c:pt>
                <c:pt idx="2">
                  <c:v>Grande Porte</c:v>
                </c:pt>
              </c:strCache>
            </c:strRef>
          </c:cat>
          <c:val>
            <c:numRef>
              <c:f>Planilha1!$B$5:$B$7</c:f>
              <c:numCache>
                <c:formatCode>General</c:formatCode>
                <c:ptCount val="3"/>
                <c:pt idx="0">
                  <c:v>47</c:v>
                </c:pt>
                <c:pt idx="1">
                  <c:v>21</c:v>
                </c:pt>
                <c:pt idx="2">
                  <c:v>1</c:v>
                </c:pt>
              </c:numCache>
            </c:numRef>
          </c:val>
          <c:extLst>
            <c:ext xmlns:c16="http://schemas.microsoft.com/office/drawing/2014/chart" uri="{C3380CC4-5D6E-409C-BE32-E72D297353CC}">
              <c16:uniqueId val="{00000006-94C1-4A7B-917B-F40B37C49E56}"/>
            </c:ext>
          </c:extLst>
        </c:ser>
        <c:dLbls>
          <c:dLblPos val="in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D8BF0-37DA-4031-A0C8-0AF96CC0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19</Pages>
  <Words>14994</Words>
  <Characters>80970</Characters>
  <Application>Microsoft Office Word</Application>
  <DocSecurity>0</DocSecurity>
  <Lines>674</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da Mota Passos Neto</dc:creator>
  <cp:keywords/>
  <dc:description/>
  <cp:lastModifiedBy>George da Mota Passos Neto</cp:lastModifiedBy>
  <cp:revision>39</cp:revision>
  <dcterms:created xsi:type="dcterms:W3CDTF">2019-10-07T23:18:00Z</dcterms:created>
  <dcterms:modified xsi:type="dcterms:W3CDTF">2019-11-11T01:56:00Z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http://www.zotero.org/styles/associacao-brasileira-de-normas-tecnicas-note</vt:lpwstr>
  </property>
  <property fmtid="{D5CDD505-2E9C-101B-9397-08002B2CF9AE}" pid="7" name="Mendeley Recent Style Name 2_1">
    <vt:lpwstr>Associação Brasileira de Normas Técnicas (note, Portuguese - Brazil)</vt:lpwstr>
  </property>
  <property fmtid="{D5CDD505-2E9C-101B-9397-08002B2CF9AE}" pid="8" name="Mendeley Recent Style Id 3_1">
    <vt:lpwstr>http://www.zotero.org/styles/building-and-environment</vt:lpwstr>
  </property>
  <property fmtid="{D5CDD505-2E9C-101B-9397-08002B2CF9AE}" pid="9" name="Mendeley Recent Style Name 3_1">
    <vt:lpwstr>Building and Environment</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http://www.zotero.org/styles/associacao-brasileira-de-normas-tecnicas-instituto-meira-mattos</vt:lpwstr>
  </property>
  <property fmtid="{D5CDD505-2E9C-101B-9397-08002B2CF9AE}" pid="13" name="Mendeley Recent Style Name 5_1">
    <vt:lpwstr>Escola de Comando e Estado-Maior do Exército - Instituto Meira Mattos - ABNT (Portuguese - Brazil)</vt:lpwstr>
  </property>
  <property fmtid="{D5CDD505-2E9C-101B-9397-08002B2CF9AE}" pid="14" name="Mendeley Recent Style Id 6_1">
    <vt:lpwstr>http://www.zotero.org/styles/hiob-ludolf-centre-for-ethiopian-studies-with-url-doi</vt:lpwstr>
  </property>
  <property fmtid="{D5CDD505-2E9C-101B-9397-08002B2CF9AE}" pid="15" name="Mendeley Recent Style Name 6_1">
    <vt:lpwstr>Hiob Ludolf Centre for Ethiopian Studies (with URL/DOI)</vt:lpwstr>
  </property>
  <property fmtid="{D5CDD505-2E9C-101B-9397-08002B2CF9AE}" pid="16" name="Mendeley Recent Style Id 7_1">
    <vt:lpwstr>http://www.zotero.org/styles/associacao-brasileira-de-normas-tecnicas-ipea</vt:lpwstr>
  </property>
  <property fmtid="{D5CDD505-2E9C-101B-9397-08002B2CF9AE}" pid="17" name="Mendeley Recent Style Name 7_1">
    <vt:lpwstr>Instituto de Pesquisa Econômica Aplicada - ABNT (Portuguese - Brazil)</vt:lpwstr>
  </property>
  <property fmtid="{D5CDD505-2E9C-101B-9397-08002B2CF9AE}" pid="18" name="Mendeley Recent Style Id 8_1">
    <vt:lpwstr>http://www.zotero.org/styles/associacao-brasileira-de-normas-tecnicas-ufmg-face-initials</vt:lpwstr>
  </property>
  <property fmtid="{D5CDD505-2E9C-101B-9397-08002B2CF9AE}" pid="19" name="Mendeley Recent Style Name 8_1">
    <vt:lpwstr>Universidade Federal de Minas Gerais - Faculdade de Ciências Econômicas - ABNT (autoria abreviada) (Portuguese - Brazil)</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SBUFRGS - ABNT (autoria completa) (Portuguese - Brazil)</vt:lpwstr>
  </property>
  <property fmtid="{D5CDD505-2E9C-101B-9397-08002B2CF9AE}" pid="22" name="Mendeley Document_1">
    <vt:lpwstr>True</vt:lpwstr>
  </property>
  <property fmtid="{D5CDD505-2E9C-101B-9397-08002B2CF9AE}" pid="23" name="Mendeley Unique User Id_1">
    <vt:lpwstr>8fd01909-4d2e-391d-ba53-14a31e273a74</vt:lpwstr>
  </property>
  <property fmtid="{D5CDD505-2E9C-101B-9397-08002B2CF9AE}" pid="24" name="Mendeley Citation Style_1">
    <vt:lpwstr>http://www.zotero.org/styles/associacao-brasileira-de-normas-tecnicas</vt:lpwstr>
  </property>
</Properties>
</file>