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18381" w14:textId="01630E14" w:rsidR="00F37D16" w:rsidRPr="00CD4840" w:rsidRDefault="00787470">
      <w:pPr>
        <w:pStyle w:val="Standard"/>
        <w:jc w:val="center"/>
        <w:rPr>
          <w:rFonts w:ascii="Times New Roman" w:hAnsi="Times New Roman" w:cs="Times New Roman"/>
          <w:b/>
          <w:bCs/>
          <w:lang w:val="en-US"/>
        </w:rPr>
      </w:pPr>
      <w:bookmarkStart w:id="0" w:name="_Hlk23789839"/>
      <w:bookmarkEnd w:id="0"/>
      <w:r w:rsidRPr="00CD4840">
        <w:rPr>
          <w:rFonts w:ascii="Times New Roman" w:hAnsi="Times New Roman" w:cs="Times New Roman"/>
          <w:b/>
          <w:bCs/>
          <w:lang w:val="en-US"/>
        </w:rPr>
        <w:t>Reforming the International Financial System?</w:t>
      </w:r>
    </w:p>
    <w:p w14:paraId="0F0EBF43" w14:textId="6E2E5527" w:rsidR="00F37D16" w:rsidRPr="00CD4840" w:rsidRDefault="00787470">
      <w:pPr>
        <w:pStyle w:val="Standard"/>
        <w:jc w:val="center"/>
        <w:rPr>
          <w:rFonts w:ascii="Times New Roman" w:hAnsi="Times New Roman" w:cs="Times New Roman"/>
          <w:b/>
          <w:bCs/>
          <w:lang w:val="en-US"/>
        </w:rPr>
      </w:pPr>
      <w:r w:rsidRPr="00CD4840">
        <w:rPr>
          <w:rFonts w:ascii="Times New Roman" w:hAnsi="Times New Roman" w:cs="Times New Roman"/>
          <w:b/>
          <w:bCs/>
          <w:lang w:val="en-US"/>
        </w:rPr>
        <w:t>Accessing the Depths of New Development Bank’s (NDB) Operations</w:t>
      </w:r>
    </w:p>
    <w:p w14:paraId="43CC272F" w14:textId="77777777" w:rsidR="00F37D16" w:rsidRPr="00CD4840" w:rsidRDefault="00F37D16">
      <w:pPr>
        <w:pStyle w:val="Standard"/>
        <w:jc w:val="center"/>
        <w:rPr>
          <w:rFonts w:ascii="Times New Roman" w:hAnsi="Times New Roman" w:cs="Times New Roman"/>
          <w:b/>
          <w:bCs/>
          <w:lang w:val="en-US"/>
        </w:rPr>
      </w:pPr>
    </w:p>
    <w:p w14:paraId="0A08189C" w14:textId="77777777" w:rsidR="00F37D16" w:rsidRPr="00787470" w:rsidRDefault="00F77C53">
      <w:pPr>
        <w:pStyle w:val="Standard"/>
        <w:jc w:val="right"/>
        <w:rPr>
          <w:rFonts w:ascii="Times New Roman" w:hAnsi="Times New Roman" w:cs="Times New Roman"/>
          <w:i/>
        </w:rPr>
      </w:pPr>
      <w:proofErr w:type="spellStart"/>
      <w:r w:rsidRPr="00787470">
        <w:rPr>
          <w:rFonts w:ascii="Times New Roman" w:hAnsi="Times New Roman" w:cs="Times New Roman"/>
          <w:i/>
        </w:rPr>
        <w:t>Adynaer</w:t>
      </w:r>
      <w:proofErr w:type="spellEnd"/>
      <w:r w:rsidRPr="00787470">
        <w:rPr>
          <w:rFonts w:ascii="Times New Roman" w:hAnsi="Times New Roman" w:cs="Times New Roman"/>
          <w:i/>
        </w:rPr>
        <w:t xml:space="preserve"> Geraldo Maia da Silva</w:t>
      </w:r>
    </w:p>
    <w:p w14:paraId="73A4C6AD" w14:textId="77777777" w:rsidR="00F37D16" w:rsidRPr="00787470" w:rsidRDefault="00F77C53">
      <w:pPr>
        <w:pStyle w:val="Standard"/>
        <w:jc w:val="right"/>
        <w:rPr>
          <w:rFonts w:ascii="Times New Roman" w:hAnsi="Times New Roman" w:cs="Times New Roman"/>
          <w:i/>
        </w:rPr>
      </w:pPr>
      <w:r w:rsidRPr="00787470">
        <w:rPr>
          <w:rFonts w:ascii="Times New Roman" w:hAnsi="Times New Roman" w:cs="Times New Roman"/>
          <w:i/>
        </w:rPr>
        <w:t>Elia Elisa Cia Alves</w:t>
      </w:r>
    </w:p>
    <w:p w14:paraId="1366C8EC" w14:textId="77777777" w:rsidR="00F37D16" w:rsidRPr="00CD4840" w:rsidRDefault="00F37D16">
      <w:pPr>
        <w:pStyle w:val="Standard"/>
        <w:jc w:val="right"/>
        <w:rPr>
          <w:rFonts w:ascii="Times New Roman" w:hAnsi="Times New Roman" w:cs="Times New Roman"/>
        </w:rPr>
      </w:pPr>
    </w:p>
    <w:p w14:paraId="6936B2C4" w14:textId="5B486FBF" w:rsidR="00F37D16" w:rsidRPr="00CD4840" w:rsidRDefault="00787470">
      <w:pPr>
        <w:pStyle w:val="Standard"/>
        <w:spacing w:line="360" w:lineRule="auto"/>
        <w:jc w:val="both"/>
        <w:rPr>
          <w:rFonts w:ascii="Times New Roman" w:hAnsi="Times New Roman" w:cs="Times New Roman"/>
          <w:b/>
          <w:bCs/>
        </w:rPr>
      </w:pPr>
      <w:r w:rsidRPr="00CD4840">
        <w:rPr>
          <w:rFonts w:ascii="Times New Roman" w:hAnsi="Times New Roman" w:cs="Times New Roman"/>
          <w:b/>
          <w:bCs/>
        </w:rPr>
        <w:t>Resumo</w:t>
      </w:r>
      <w:bookmarkStart w:id="1" w:name="_GoBack"/>
      <w:bookmarkEnd w:id="1"/>
    </w:p>
    <w:p w14:paraId="7274E969" w14:textId="77777777" w:rsidR="00F37D16" w:rsidRPr="00CD4840" w:rsidRDefault="00F77C53">
      <w:pPr>
        <w:pStyle w:val="Standard"/>
        <w:jc w:val="both"/>
        <w:rPr>
          <w:rFonts w:ascii="Times New Roman" w:hAnsi="Times New Roman" w:cs="Times New Roman"/>
        </w:rPr>
      </w:pPr>
      <w:r w:rsidRPr="00CD4840">
        <w:rPr>
          <w:rFonts w:ascii="Times New Roman" w:hAnsi="Times New Roman" w:cs="Times New Roman"/>
        </w:rPr>
        <w:t xml:space="preserve">O Sistema Financeiro Internacional é composto por organismos intergovernamentais, regionais, multilaterais, além de organismos privados e da sociedade civil organizada. Tal interdependência é capaz de influenciar fluxo, determinar coalizões e decidir sobre regulamentação, transparência e conformidade. Há muito tempo países desenvolvidos ditam as regras principais do jogo e submetem países emergentes às regras conforme seus interesses. Na gama de atores hegemônicos exsurge o conglomerado formado por </w:t>
      </w:r>
      <w:proofErr w:type="spellStart"/>
      <w:r w:rsidRPr="00CD4840">
        <w:rPr>
          <w:rFonts w:ascii="Times New Roman" w:hAnsi="Times New Roman" w:cs="Times New Roman"/>
        </w:rPr>
        <w:t>Brazil</w:t>
      </w:r>
      <w:proofErr w:type="spellEnd"/>
      <w:r w:rsidRPr="00CD4840">
        <w:rPr>
          <w:rFonts w:ascii="Times New Roman" w:hAnsi="Times New Roman" w:cs="Times New Roman"/>
        </w:rPr>
        <w:t xml:space="preserve">, </w:t>
      </w:r>
      <w:proofErr w:type="spellStart"/>
      <w:r w:rsidRPr="00CD4840">
        <w:rPr>
          <w:rFonts w:ascii="Times New Roman" w:hAnsi="Times New Roman" w:cs="Times New Roman"/>
        </w:rPr>
        <w:t>Russia</w:t>
      </w:r>
      <w:proofErr w:type="spellEnd"/>
      <w:r w:rsidRPr="00CD4840">
        <w:rPr>
          <w:rFonts w:ascii="Times New Roman" w:hAnsi="Times New Roman" w:cs="Times New Roman"/>
        </w:rPr>
        <w:t xml:space="preserve">, </w:t>
      </w:r>
      <w:proofErr w:type="spellStart"/>
      <w:r w:rsidRPr="00CD4840">
        <w:rPr>
          <w:rFonts w:ascii="Times New Roman" w:hAnsi="Times New Roman" w:cs="Times New Roman"/>
        </w:rPr>
        <w:t>India</w:t>
      </w:r>
      <w:proofErr w:type="spellEnd"/>
      <w:r w:rsidRPr="00CD4840">
        <w:rPr>
          <w:rFonts w:ascii="Times New Roman" w:hAnsi="Times New Roman" w:cs="Times New Roman"/>
        </w:rPr>
        <w:t xml:space="preserve">, China </w:t>
      </w:r>
      <w:proofErr w:type="spellStart"/>
      <w:r w:rsidRPr="00CD4840">
        <w:rPr>
          <w:rFonts w:ascii="Times New Roman" w:hAnsi="Times New Roman" w:cs="Times New Roman"/>
        </w:rPr>
        <w:t>and</w:t>
      </w:r>
      <w:proofErr w:type="spellEnd"/>
      <w:r w:rsidRPr="00CD4840">
        <w:rPr>
          <w:rFonts w:ascii="Times New Roman" w:hAnsi="Times New Roman" w:cs="Times New Roman"/>
        </w:rPr>
        <w:t xml:space="preserve"> South </w:t>
      </w:r>
      <w:proofErr w:type="spellStart"/>
      <w:r w:rsidRPr="00CD4840">
        <w:rPr>
          <w:rFonts w:ascii="Times New Roman" w:hAnsi="Times New Roman" w:cs="Times New Roman"/>
        </w:rPr>
        <w:t>Africa</w:t>
      </w:r>
      <w:proofErr w:type="spellEnd"/>
      <w:r w:rsidRPr="00CD4840">
        <w:rPr>
          <w:rFonts w:ascii="Times New Roman" w:hAnsi="Times New Roman" w:cs="Times New Roman"/>
        </w:rPr>
        <w:t xml:space="preserve"> (BRICS) que recentemente institucionalizaram o New </w:t>
      </w:r>
      <w:proofErr w:type="spellStart"/>
      <w:r w:rsidRPr="00CD4840">
        <w:rPr>
          <w:rFonts w:ascii="Times New Roman" w:hAnsi="Times New Roman" w:cs="Times New Roman"/>
        </w:rPr>
        <w:t>Development</w:t>
      </w:r>
      <w:proofErr w:type="spellEnd"/>
      <w:r w:rsidRPr="00CD4840">
        <w:rPr>
          <w:rFonts w:ascii="Times New Roman" w:hAnsi="Times New Roman" w:cs="Times New Roman"/>
        </w:rPr>
        <w:t xml:space="preserve"> Bank, órgão financeiro responsável por complementar o sistema com investimentos em infraestrutura para o desenvolvimento sustentável em países do Sul global. Seria o início de um desmonte reformista? O presente estudo perquirirá os documentos e reportes financeiros do Banco a fim de qualitativamente demonstrar se o caráter reformista do NDB é pertinente ou apenas mais uma instituição a seguir regras em uma arquitetura já inflada.</w:t>
      </w:r>
    </w:p>
    <w:p w14:paraId="04F3D0F4" w14:textId="77777777" w:rsidR="00787470" w:rsidRDefault="00787470">
      <w:pPr>
        <w:pStyle w:val="Standard"/>
        <w:jc w:val="both"/>
        <w:rPr>
          <w:rFonts w:ascii="Times New Roman" w:hAnsi="Times New Roman" w:cs="Times New Roman"/>
          <w:b/>
          <w:bCs/>
        </w:rPr>
      </w:pPr>
    </w:p>
    <w:p w14:paraId="0A2B43AE" w14:textId="77777777" w:rsidR="00F37D16" w:rsidRPr="00CD4840" w:rsidRDefault="00F77C53">
      <w:pPr>
        <w:pStyle w:val="Standard"/>
        <w:jc w:val="both"/>
        <w:rPr>
          <w:rFonts w:ascii="Times New Roman" w:hAnsi="Times New Roman" w:cs="Times New Roman"/>
        </w:rPr>
      </w:pPr>
      <w:r w:rsidRPr="00CD4840">
        <w:rPr>
          <w:rFonts w:ascii="Times New Roman" w:hAnsi="Times New Roman" w:cs="Times New Roman"/>
          <w:b/>
          <w:bCs/>
        </w:rPr>
        <w:t>Palavras-chave</w:t>
      </w:r>
      <w:r w:rsidRPr="00CD4840">
        <w:rPr>
          <w:rFonts w:ascii="Times New Roman" w:hAnsi="Times New Roman" w:cs="Times New Roman"/>
        </w:rPr>
        <w:t xml:space="preserve">: Sistema Financeiro Internacional, BRICS, New </w:t>
      </w:r>
      <w:proofErr w:type="spellStart"/>
      <w:r w:rsidRPr="00CD4840">
        <w:rPr>
          <w:rFonts w:ascii="Times New Roman" w:hAnsi="Times New Roman" w:cs="Times New Roman"/>
        </w:rPr>
        <w:t>Development</w:t>
      </w:r>
      <w:proofErr w:type="spellEnd"/>
      <w:r w:rsidRPr="00CD4840">
        <w:rPr>
          <w:rFonts w:ascii="Times New Roman" w:hAnsi="Times New Roman" w:cs="Times New Roman"/>
        </w:rPr>
        <w:t xml:space="preserve"> Bank, Governança Global.</w:t>
      </w:r>
    </w:p>
    <w:p w14:paraId="38D0184B" w14:textId="77777777" w:rsidR="00F37D16" w:rsidRPr="00CD4840" w:rsidRDefault="00F37D16">
      <w:pPr>
        <w:pStyle w:val="Standard"/>
        <w:spacing w:line="360" w:lineRule="auto"/>
        <w:jc w:val="both"/>
        <w:rPr>
          <w:rFonts w:ascii="Times New Roman" w:hAnsi="Times New Roman" w:cs="Times New Roman"/>
        </w:rPr>
      </w:pPr>
    </w:p>
    <w:p w14:paraId="2240C3EC" w14:textId="5F133FD2" w:rsidR="00F37D16" w:rsidRPr="00CD4840" w:rsidRDefault="00787470">
      <w:pPr>
        <w:pStyle w:val="Standard"/>
        <w:spacing w:line="360" w:lineRule="auto"/>
        <w:jc w:val="both"/>
        <w:rPr>
          <w:rFonts w:ascii="Times New Roman" w:hAnsi="Times New Roman" w:cs="Times New Roman"/>
          <w:b/>
          <w:bCs/>
          <w:lang w:val="en-US"/>
        </w:rPr>
      </w:pPr>
      <w:r w:rsidRPr="00CD4840">
        <w:rPr>
          <w:rFonts w:ascii="Times New Roman" w:hAnsi="Times New Roman" w:cs="Times New Roman"/>
          <w:b/>
          <w:bCs/>
          <w:lang w:val="en-US"/>
        </w:rPr>
        <w:t>Abstract</w:t>
      </w:r>
    </w:p>
    <w:p w14:paraId="29A903EF"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The International Financial System is composed by intergovernmental, regional, multilateral, as well as private and non-profit organizations. Such interdependence is able to influence capital flow, determine coalitions, and decide on regulation, transparency and compliance. Developed countries have long dictated the main rules of the game and subjugate emerging countries to the rules according to their interests. In the range of hegemonic actors, the conglomerate formed by Brazil, Russia, India, China and South Africa (BRICS) recently institutionalized the New Development Bank, a financial agency responsible for complementing the system with infrastructure for sustainable development investments in Southern countries. Was it the beginning of a reformist blast? The present study will look at the Bank's financial documents and reports in order to qualitatively demonstrate whether the reformed character of the NDB is relevant or just another institution following rules in an already inflated architecture.</w:t>
      </w:r>
    </w:p>
    <w:p w14:paraId="008441F2" w14:textId="77777777" w:rsidR="00787470" w:rsidRDefault="00787470">
      <w:pPr>
        <w:pStyle w:val="Standard"/>
        <w:jc w:val="both"/>
        <w:rPr>
          <w:rFonts w:ascii="Times New Roman" w:hAnsi="Times New Roman" w:cs="Times New Roman"/>
          <w:b/>
          <w:bCs/>
          <w:lang w:val="en-US"/>
        </w:rPr>
      </w:pPr>
    </w:p>
    <w:p w14:paraId="5408C170"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b/>
          <w:bCs/>
          <w:lang w:val="en-US"/>
        </w:rPr>
        <w:t>Keywords</w:t>
      </w:r>
      <w:r w:rsidRPr="00CD4840">
        <w:rPr>
          <w:rFonts w:ascii="Times New Roman" w:hAnsi="Times New Roman" w:cs="Times New Roman"/>
          <w:lang w:val="en-US"/>
        </w:rPr>
        <w:t>: International Financial System, BRICS, New Development Bank, Global Governance.</w:t>
      </w:r>
    </w:p>
    <w:p w14:paraId="69FC5B12" w14:textId="77777777" w:rsidR="00787470" w:rsidRDefault="00787470" w:rsidP="00787470">
      <w:pPr>
        <w:rPr>
          <w:rFonts w:ascii="Times New Roman" w:hAnsi="Times New Roman" w:cs="Times New Roman"/>
          <w:lang w:val="en-US"/>
        </w:rPr>
      </w:pPr>
    </w:p>
    <w:p w14:paraId="2E707526" w14:textId="77777777" w:rsidR="00787470" w:rsidRDefault="00787470" w:rsidP="00787470">
      <w:pPr>
        <w:rPr>
          <w:rFonts w:eastAsia="Times New Roman"/>
          <w:szCs w:val="20"/>
        </w:rPr>
      </w:pPr>
    </w:p>
    <w:p w14:paraId="2B4AEC6D" w14:textId="77777777" w:rsidR="00787470" w:rsidRDefault="00787470" w:rsidP="00787470">
      <w:pPr>
        <w:rPr>
          <w:rFonts w:eastAsia="Times New Roman"/>
          <w:szCs w:val="20"/>
        </w:rPr>
      </w:pPr>
    </w:p>
    <w:p w14:paraId="745CDF38" w14:textId="77777777" w:rsidR="00787470" w:rsidRDefault="00787470" w:rsidP="00787470">
      <w:pPr>
        <w:rPr>
          <w:rFonts w:eastAsia="Times New Roman"/>
          <w:szCs w:val="20"/>
        </w:rPr>
      </w:pPr>
    </w:p>
    <w:p w14:paraId="29EC6E71" w14:textId="77777777" w:rsidR="00787470" w:rsidRDefault="00787470" w:rsidP="00787470">
      <w:pPr>
        <w:rPr>
          <w:rFonts w:eastAsia="Times New Roman"/>
          <w:szCs w:val="20"/>
        </w:rPr>
      </w:pPr>
    </w:p>
    <w:p w14:paraId="6E55ABB5" w14:textId="77777777" w:rsidR="00787470" w:rsidRDefault="00787470" w:rsidP="00787470">
      <w:pPr>
        <w:rPr>
          <w:rFonts w:eastAsia="Times New Roman"/>
          <w:szCs w:val="20"/>
        </w:rPr>
      </w:pPr>
    </w:p>
    <w:p w14:paraId="67A9239B" w14:textId="77777777" w:rsidR="00787470" w:rsidRDefault="00787470" w:rsidP="00787470">
      <w:pPr>
        <w:rPr>
          <w:rFonts w:eastAsia="Times New Roman"/>
          <w:szCs w:val="20"/>
        </w:rPr>
      </w:pPr>
    </w:p>
    <w:p w14:paraId="796E7DD1" w14:textId="5400CB9B" w:rsidR="00787470" w:rsidRDefault="00787470" w:rsidP="00787470">
      <w:pPr>
        <w:rPr>
          <w:rFonts w:eastAsia="Times New Roman"/>
          <w:szCs w:val="20"/>
        </w:rPr>
      </w:pPr>
      <w:r>
        <w:rPr>
          <w:rFonts w:eastAsia="Times New Roman"/>
          <w:szCs w:val="20"/>
        </w:rPr>
        <w:t>Artigo recebido em 11/11</w:t>
      </w:r>
      <w:r w:rsidRPr="00DE765F">
        <w:rPr>
          <w:rFonts w:eastAsia="Times New Roman"/>
          <w:szCs w:val="20"/>
        </w:rPr>
        <w:t xml:space="preserve">/2019 e aceito </w:t>
      </w:r>
      <w:r>
        <w:rPr>
          <w:rFonts w:eastAsia="Times New Roman"/>
          <w:szCs w:val="20"/>
        </w:rPr>
        <w:t>em 14/12</w:t>
      </w:r>
      <w:r w:rsidRPr="00DE765F">
        <w:rPr>
          <w:rFonts w:eastAsia="Times New Roman"/>
          <w:szCs w:val="20"/>
        </w:rPr>
        <w:t>/2019.</w:t>
      </w:r>
    </w:p>
    <w:p w14:paraId="113EB9F4" w14:textId="77777777" w:rsidR="00787470" w:rsidRPr="00CD4840" w:rsidRDefault="00787470">
      <w:pPr>
        <w:pStyle w:val="Standard"/>
        <w:spacing w:line="360" w:lineRule="auto"/>
        <w:jc w:val="both"/>
        <w:rPr>
          <w:rFonts w:ascii="Times New Roman" w:hAnsi="Times New Roman" w:cs="Times New Roman"/>
          <w:lang w:val="en-US"/>
        </w:rPr>
      </w:pPr>
    </w:p>
    <w:p w14:paraId="4CB1DFAE" w14:textId="2DDC3F18" w:rsidR="00F37D16" w:rsidRPr="00CD4840" w:rsidRDefault="00066846">
      <w:pPr>
        <w:pStyle w:val="Standard"/>
        <w:spacing w:line="360" w:lineRule="auto"/>
        <w:jc w:val="both"/>
        <w:rPr>
          <w:rFonts w:ascii="Times New Roman" w:hAnsi="Times New Roman" w:cs="Times New Roman"/>
          <w:b/>
          <w:bCs/>
        </w:rPr>
      </w:pPr>
      <w:r>
        <w:rPr>
          <w:rFonts w:ascii="Times New Roman" w:hAnsi="Times New Roman" w:cs="Times New Roman"/>
          <w:b/>
          <w:bCs/>
        </w:rPr>
        <w:lastRenderedPageBreak/>
        <w:t>1. INTRODUCTION</w:t>
      </w:r>
    </w:p>
    <w:p w14:paraId="51E8D544" w14:textId="77777777" w:rsidR="00066846" w:rsidRDefault="00066846" w:rsidP="00066846">
      <w:pPr>
        <w:pStyle w:val="Standard"/>
        <w:spacing w:line="360" w:lineRule="auto"/>
        <w:jc w:val="both"/>
        <w:rPr>
          <w:rFonts w:ascii="Times New Roman" w:hAnsi="Times New Roman" w:cs="Times New Roman"/>
          <w:sz w:val="22"/>
          <w:szCs w:val="22"/>
        </w:rPr>
      </w:pPr>
    </w:p>
    <w:p w14:paraId="55A2807D" w14:textId="77777777" w:rsidR="00066846" w:rsidRDefault="00066846" w:rsidP="00066846">
      <w:pPr>
        <w:pStyle w:val="Standard"/>
        <w:spacing w:line="360" w:lineRule="auto"/>
        <w:ind w:firstLine="709"/>
        <w:jc w:val="both"/>
        <w:rPr>
          <w:rFonts w:ascii="Times New Roman" w:hAnsi="Times New Roman" w:cs="Times New Roman"/>
          <w:lang w:val="en-US"/>
        </w:rPr>
      </w:pPr>
      <w:r w:rsidRPr="00066846">
        <w:rPr>
          <w:rFonts w:ascii="Times New Roman" w:hAnsi="Times New Roman" w:cs="Times New Roman"/>
          <w:lang w:val="en-US"/>
        </w:rPr>
        <w:t>The informal BRICS conglomerate, so-called the meeting of five emerging countries, Brazil, Russia, India, China and South Africa, emerged on the fringes of the G20 meetings, in the context of the global financial crisis (2008-2009) impacts, justified by a multilateral desire to promote some reform in the global political and financial landscape. Among the 10 meetings that have taken place since 2009 until 2018, the main decision was taken at the VI (sixth) BRICS meeting in 2015, in Fortaleza, Brazil, where two initiatives: the New Development Bank (NBD) and the Contingent Reserve Arrangement (ACR) were presented. Some economic and financial factors were the basis for the whole process: the unipolar confluence of the current international financial system (IFS), the stagnation of world agencies in the crisis scenario, the need for security in emerging countries, the rapid process of infrastructure investment (</w:t>
      </w:r>
      <w:proofErr w:type="spellStart"/>
      <w:r w:rsidRPr="00066846">
        <w:rPr>
          <w:rFonts w:ascii="Times New Roman" w:hAnsi="Times New Roman" w:cs="Times New Roman"/>
          <w:lang w:val="en-US"/>
        </w:rPr>
        <w:t>Pires</w:t>
      </w:r>
      <w:proofErr w:type="spellEnd"/>
      <w:r w:rsidRPr="00066846">
        <w:rPr>
          <w:rFonts w:ascii="Times New Roman" w:hAnsi="Times New Roman" w:cs="Times New Roman"/>
          <w:lang w:val="en-US"/>
        </w:rPr>
        <w:t xml:space="preserve">, 2015; </w:t>
      </w:r>
      <w:proofErr w:type="spellStart"/>
      <w:r w:rsidRPr="00066846">
        <w:rPr>
          <w:rFonts w:ascii="Times New Roman" w:hAnsi="Times New Roman" w:cs="Times New Roman"/>
          <w:lang w:val="en-US"/>
        </w:rPr>
        <w:t>Esteves</w:t>
      </w:r>
      <w:proofErr w:type="spellEnd"/>
      <w:r w:rsidRPr="00066846">
        <w:rPr>
          <w:rFonts w:ascii="Times New Roman" w:hAnsi="Times New Roman" w:cs="Times New Roman"/>
          <w:lang w:val="en-US"/>
        </w:rPr>
        <w:t xml:space="preserve"> et al., 2016). </w:t>
      </w:r>
    </w:p>
    <w:p w14:paraId="7F07FBC5" w14:textId="77777777" w:rsidR="00066846" w:rsidRDefault="00066846" w:rsidP="00066846">
      <w:pPr>
        <w:pStyle w:val="Standard"/>
        <w:spacing w:line="360" w:lineRule="auto"/>
        <w:ind w:firstLine="709"/>
        <w:jc w:val="both"/>
        <w:rPr>
          <w:rFonts w:ascii="Times New Roman" w:hAnsi="Times New Roman" w:cs="Times New Roman"/>
          <w:lang w:val="en-US"/>
        </w:rPr>
      </w:pPr>
      <w:r w:rsidRPr="00066846">
        <w:rPr>
          <w:rFonts w:ascii="Times New Roman" w:hAnsi="Times New Roman" w:cs="Times New Roman"/>
          <w:lang w:val="en-US"/>
        </w:rPr>
        <w:t>The escape from the stuck scenario revealed the organizational capacity of the countries involved. Through the institutionalization of the NBD, BRICS gained policy space and, above all, the ability to invest in infrastructure and sustainable development projects, envisioning possibilities to operate globally and be led only by developing countries (</w:t>
      </w:r>
      <w:proofErr w:type="spellStart"/>
      <w:r w:rsidRPr="00066846">
        <w:rPr>
          <w:rFonts w:ascii="Times New Roman" w:hAnsi="Times New Roman" w:cs="Times New Roman"/>
          <w:lang w:val="en-US"/>
        </w:rPr>
        <w:t>A</w:t>
      </w:r>
      <w:r>
        <w:rPr>
          <w:rFonts w:ascii="Times New Roman" w:hAnsi="Times New Roman" w:cs="Times New Roman"/>
          <w:lang w:val="en-US"/>
        </w:rPr>
        <w:t>cioly</w:t>
      </w:r>
      <w:proofErr w:type="spellEnd"/>
      <w:r w:rsidRPr="00066846">
        <w:rPr>
          <w:rFonts w:ascii="Times New Roman" w:hAnsi="Times New Roman" w:cs="Times New Roman"/>
          <w:lang w:val="en-US"/>
        </w:rPr>
        <w:t>, 2019). The NBD came to existence and its first loan portfolio was structured in mid-2016. With nearly three years in operation, the bank still has many challenges to face. The literature, however, is controversial regarding the effective reformist character of the institution.</w:t>
      </w:r>
    </w:p>
    <w:p w14:paraId="2D64188B" w14:textId="77777777" w:rsidR="00066846" w:rsidRDefault="00066846" w:rsidP="00066846">
      <w:pPr>
        <w:pStyle w:val="Standard"/>
        <w:spacing w:line="360" w:lineRule="auto"/>
        <w:ind w:firstLine="709"/>
        <w:jc w:val="both"/>
        <w:rPr>
          <w:rFonts w:ascii="Times New Roman" w:hAnsi="Times New Roman" w:cs="Times New Roman"/>
          <w:lang w:val="en-US"/>
        </w:rPr>
      </w:pPr>
      <w:r w:rsidRPr="00066846">
        <w:rPr>
          <w:rFonts w:ascii="Times New Roman" w:hAnsi="Times New Roman" w:cs="Times New Roman"/>
          <w:lang w:val="en-US"/>
        </w:rPr>
        <w:t xml:space="preserve">On the one hand, some authors emphasize the reformist aspect and the capacity of institutionalization to promote a reformist agenda in the IFS. </w:t>
      </w:r>
      <w:proofErr w:type="spellStart"/>
      <w:r w:rsidRPr="00066846">
        <w:rPr>
          <w:rFonts w:ascii="Times New Roman" w:hAnsi="Times New Roman" w:cs="Times New Roman"/>
          <w:lang w:val="en-US"/>
        </w:rPr>
        <w:t>Basile</w:t>
      </w:r>
      <w:proofErr w:type="spellEnd"/>
      <w:r w:rsidRPr="00066846">
        <w:rPr>
          <w:rFonts w:ascii="Times New Roman" w:hAnsi="Times New Roman" w:cs="Times New Roman"/>
          <w:lang w:val="en-US"/>
        </w:rPr>
        <w:t xml:space="preserve"> and </w:t>
      </w:r>
      <w:proofErr w:type="spellStart"/>
      <w:r w:rsidRPr="00066846">
        <w:rPr>
          <w:rFonts w:ascii="Times New Roman" w:hAnsi="Times New Roman" w:cs="Times New Roman"/>
          <w:lang w:val="en-US"/>
        </w:rPr>
        <w:t>Cecchi</w:t>
      </w:r>
      <w:proofErr w:type="spellEnd"/>
      <w:r w:rsidRPr="00066846">
        <w:rPr>
          <w:rFonts w:ascii="Times New Roman" w:hAnsi="Times New Roman" w:cs="Times New Roman"/>
          <w:lang w:val="en-US"/>
        </w:rPr>
        <w:t xml:space="preserve"> (2018) point out the filling of investment gaps in sustainable development. </w:t>
      </w:r>
      <w:proofErr w:type="spellStart"/>
      <w:r w:rsidRPr="00066846">
        <w:rPr>
          <w:rFonts w:ascii="Times New Roman" w:hAnsi="Times New Roman" w:cs="Times New Roman"/>
          <w:lang w:val="en-US"/>
        </w:rPr>
        <w:t>Jash</w:t>
      </w:r>
      <w:proofErr w:type="spellEnd"/>
      <w:r w:rsidRPr="00066846">
        <w:rPr>
          <w:rFonts w:ascii="Times New Roman" w:hAnsi="Times New Roman" w:cs="Times New Roman"/>
          <w:lang w:val="en-US"/>
        </w:rPr>
        <w:t xml:space="preserve"> (2017) highlights the group's strategy, including its prominent role in the international order. According to UNCTAD (2019), the NDB has also shown speedier response, taking on average six months to approve loans from initial application as compared to one or even two years for the big multilaterals. </w:t>
      </w:r>
    </w:p>
    <w:p w14:paraId="2D4B36EB" w14:textId="740E5134" w:rsidR="00066846" w:rsidRDefault="00066846" w:rsidP="00066846">
      <w:pPr>
        <w:pStyle w:val="Standard"/>
        <w:spacing w:line="360" w:lineRule="auto"/>
        <w:ind w:firstLine="709"/>
        <w:jc w:val="both"/>
        <w:rPr>
          <w:rFonts w:ascii="Times New Roman" w:hAnsi="Times New Roman" w:cs="Times New Roman"/>
          <w:lang w:val="en-US"/>
        </w:rPr>
      </w:pPr>
      <w:r w:rsidRPr="00066846">
        <w:rPr>
          <w:rFonts w:ascii="Times New Roman" w:hAnsi="Times New Roman" w:cs="Times New Roman"/>
          <w:lang w:val="en-US"/>
        </w:rPr>
        <w:t xml:space="preserve">On the other hand, one stream of authors’ points out that, despite the reformist discourse, the organization reproduces the traditional pattern and would not represent a break with the status quo. </w:t>
      </w:r>
      <w:proofErr w:type="spellStart"/>
      <w:r w:rsidRPr="00066846">
        <w:rPr>
          <w:rFonts w:ascii="Times New Roman" w:hAnsi="Times New Roman" w:cs="Times New Roman"/>
          <w:lang w:val="en-US"/>
        </w:rPr>
        <w:t>Nayyar</w:t>
      </w:r>
      <w:proofErr w:type="spellEnd"/>
      <w:r w:rsidRPr="00066846">
        <w:rPr>
          <w:rFonts w:ascii="Times New Roman" w:hAnsi="Times New Roman" w:cs="Times New Roman"/>
          <w:lang w:val="en-US"/>
        </w:rPr>
        <w:t xml:space="preserve"> (2016) emphasizes the impossibility of proving profound changes in the political and economic balance of the world; besides him, Ramos et al. (2018) identify a conservative character in the group's actions, without distancing themselves from the world financial dictates. This is where the research will unfold. After all, has a reformist BRICS proposal materialized in NDB operations? In order to address this issue, we will make a qualitative analysis of the NDB's financial reports, classifying the various projects funded by sector, country, and project measures requested, seeking to investigate the promoted financial cooperation, from a pragmatic point of view, would be a reformist answer to the SFI.</w:t>
      </w:r>
    </w:p>
    <w:p w14:paraId="4F1ED9C6" w14:textId="0F66BEF7" w:rsidR="00280B79" w:rsidRPr="00026F0A" w:rsidRDefault="00026F0A" w:rsidP="00026F0A">
      <w:pPr>
        <w:pStyle w:val="Standard"/>
        <w:spacing w:line="360" w:lineRule="auto"/>
        <w:ind w:firstLine="709"/>
        <w:jc w:val="both"/>
        <w:rPr>
          <w:rFonts w:ascii="Times New Roman" w:hAnsi="Times New Roman" w:cs="Times New Roman"/>
          <w:lang w:val="en-US"/>
        </w:rPr>
      </w:pPr>
      <w:r>
        <w:rPr>
          <w:rFonts w:ascii="Times New Roman" w:hAnsi="Times New Roman" w:cs="Times New Roman"/>
          <w:lang w:val="en-US"/>
        </w:rPr>
        <w:t>This paper is divided in five sections. Section 2, we contextualize our</w:t>
      </w:r>
      <w:r w:rsidRPr="00026F0A">
        <w:rPr>
          <w:rFonts w:ascii="Times New Roman" w:hAnsi="Times New Roman" w:cs="Times New Roman"/>
          <w:lang w:val="en-US"/>
        </w:rPr>
        <w:t xml:space="preserve"> research objectives, address</w:t>
      </w:r>
      <w:r>
        <w:rPr>
          <w:rFonts w:ascii="Times New Roman" w:hAnsi="Times New Roman" w:cs="Times New Roman"/>
          <w:lang w:val="en-US"/>
        </w:rPr>
        <w:t>ing</w:t>
      </w:r>
      <w:r w:rsidRPr="00026F0A">
        <w:rPr>
          <w:rFonts w:ascii="Times New Roman" w:hAnsi="Times New Roman" w:cs="Times New Roman"/>
          <w:lang w:val="en-US"/>
        </w:rPr>
        <w:t xml:space="preserve"> global governance </w:t>
      </w:r>
      <w:r>
        <w:rPr>
          <w:rFonts w:ascii="Times New Roman" w:hAnsi="Times New Roman" w:cs="Times New Roman"/>
          <w:lang w:val="en-US"/>
        </w:rPr>
        <w:t xml:space="preserve">issues </w:t>
      </w:r>
      <w:r w:rsidRPr="00026F0A">
        <w:rPr>
          <w:rFonts w:ascii="Times New Roman" w:hAnsi="Times New Roman" w:cs="Times New Roman"/>
          <w:lang w:val="en-US"/>
        </w:rPr>
        <w:t>and the role of the B</w:t>
      </w:r>
      <w:r>
        <w:rPr>
          <w:rFonts w:ascii="Times New Roman" w:hAnsi="Times New Roman" w:cs="Times New Roman"/>
          <w:lang w:val="en-US"/>
        </w:rPr>
        <w:t xml:space="preserve">RICS in this political scenario. Section 3 brings some concerns on </w:t>
      </w:r>
      <w:r w:rsidRPr="00026F0A">
        <w:rPr>
          <w:rFonts w:ascii="Times New Roman" w:hAnsi="Times New Roman" w:cs="Times New Roman"/>
          <w:lang w:val="en-US"/>
        </w:rPr>
        <w:t>International Financial System (</w:t>
      </w:r>
      <w:r>
        <w:rPr>
          <w:rFonts w:ascii="Times New Roman" w:hAnsi="Times New Roman" w:cs="Times New Roman"/>
          <w:lang w:val="en-US"/>
        </w:rPr>
        <w:t>IFS</w:t>
      </w:r>
      <w:r w:rsidRPr="00026F0A">
        <w:rPr>
          <w:rFonts w:ascii="Times New Roman" w:hAnsi="Times New Roman" w:cs="Times New Roman"/>
          <w:lang w:val="en-US"/>
        </w:rPr>
        <w:t xml:space="preserve">), with conceptual focus after the rescue history. In section </w:t>
      </w:r>
      <w:r>
        <w:rPr>
          <w:rFonts w:ascii="Times New Roman" w:hAnsi="Times New Roman" w:cs="Times New Roman"/>
          <w:lang w:val="en-US"/>
        </w:rPr>
        <w:t>4</w:t>
      </w:r>
      <w:r w:rsidRPr="00026F0A">
        <w:rPr>
          <w:rFonts w:ascii="Times New Roman" w:hAnsi="Times New Roman" w:cs="Times New Roman"/>
          <w:lang w:val="en-US"/>
        </w:rPr>
        <w:t xml:space="preserve">, we gather </w:t>
      </w:r>
      <w:r>
        <w:rPr>
          <w:rFonts w:ascii="Times New Roman" w:hAnsi="Times New Roman" w:cs="Times New Roman"/>
          <w:lang w:val="en-US"/>
        </w:rPr>
        <w:t>empirical findings on NDBs projects</w:t>
      </w:r>
      <w:r w:rsidRPr="00026F0A">
        <w:rPr>
          <w:rFonts w:ascii="Times New Roman" w:hAnsi="Times New Roman" w:cs="Times New Roman"/>
          <w:lang w:val="en-US"/>
        </w:rPr>
        <w:t xml:space="preserve">. This topic will be devoted to </w:t>
      </w:r>
      <w:r>
        <w:rPr>
          <w:rFonts w:ascii="Times New Roman" w:hAnsi="Times New Roman" w:cs="Times New Roman"/>
          <w:lang w:val="en-US"/>
        </w:rPr>
        <w:t xml:space="preserve">presenting our methodology and the main results of a </w:t>
      </w:r>
      <w:r w:rsidRPr="00026F0A">
        <w:rPr>
          <w:rFonts w:ascii="Times New Roman" w:hAnsi="Times New Roman" w:cs="Times New Roman"/>
          <w:lang w:val="en-US"/>
        </w:rPr>
        <w:t>qualitative analysis of authorized projects, in order to learn more about NDB operations and strategies</w:t>
      </w:r>
      <w:r>
        <w:rPr>
          <w:rFonts w:ascii="Times New Roman" w:hAnsi="Times New Roman" w:cs="Times New Roman"/>
          <w:lang w:val="en-US"/>
        </w:rPr>
        <w:t>. Section 5 brings final considerations.</w:t>
      </w:r>
    </w:p>
    <w:p w14:paraId="5FC5EF91" w14:textId="6A861173" w:rsidR="00F37D16" w:rsidRPr="00FB0F02" w:rsidRDefault="00F77C53">
      <w:pPr>
        <w:pStyle w:val="Standard"/>
        <w:spacing w:line="360" w:lineRule="auto"/>
        <w:jc w:val="both"/>
        <w:rPr>
          <w:rFonts w:ascii="Times New Roman" w:hAnsi="Times New Roman" w:cs="Times New Roman"/>
        </w:rPr>
      </w:pPr>
      <w:r w:rsidRPr="00026F0A">
        <w:rPr>
          <w:rFonts w:ascii="Times New Roman" w:hAnsi="Times New Roman" w:cs="Times New Roman"/>
          <w:lang w:val="en-US"/>
        </w:rPr>
        <w:tab/>
      </w:r>
    </w:p>
    <w:p w14:paraId="47846664" w14:textId="77777777" w:rsidR="00F37D16" w:rsidRPr="00FB0F02" w:rsidRDefault="00F77C53">
      <w:pPr>
        <w:pStyle w:val="Standard"/>
        <w:spacing w:line="360" w:lineRule="auto"/>
        <w:jc w:val="both"/>
        <w:rPr>
          <w:rFonts w:ascii="Times New Roman" w:hAnsi="Times New Roman" w:cs="Times New Roman"/>
          <w:b/>
          <w:bCs/>
          <w:lang w:val="en-US"/>
        </w:rPr>
      </w:pPr>
      <w:r w:rsidRPr="00FB0F02">
        <w:rPr>
          <w:rFonts w:ascii="Times New Roman" w:hAnsi="Times New Roman" w:cs="Times New Roman"/>
          <w:b/>
          <w:bCs/>
          <w:lang w:val="en-US"/>
        </w:rPr>
        <w:t>2. GLOBAL GOVERNANCE AND ROLE PLAYED BY BRICS</w:t>
      </w:r>
    </w:p>
    <w:p w14:paraId="640351B6" w14:textId="77777777" w:rsidR="00FB0F02" w:rsidRPr="00FB0F02" w:rsidRDefault="00F77C53">
      <w:pPr>
        <w:pStyle w:val="Standard"/>
        <w:spacing w:line="360" w:lineRule="auto"/>
        <w:jc w:val="both"/>
        <w:rPr>
          <w:rFonts w:ascii="Times New Roman" w:hAnsi="Times New Roman" w:cs="Times New Roman"/>
          <w:lang w:val="en-US"/>
        </w:rPr>
      </w:pPr>
      <w:r w:rsidRPr="00FB0F02">
        <w:rPr>
          <w:rFonts w:ascii="Times New Roman" w:hAnsi="Times New Roman" w:cs="Times New Roman"/>
          <w:lang w:val="en-US"/>
        </w:rPr>
        <w:tab/>
      </w:r>
    </w:p>
    <w:p w14:paraId="7C5C11AC" w14:textId="65E3D5B3" w:rsidR="00511374" w:rsidRPr="00511374" w:rsidRDefault="00BD0259" w:rsidP="00511374">
      <w:pPr>
        <w:pStyle w:val="Standard"/>
        <w:spacing w:line="360" w:lineRule="auto"/>
        <w:ind w:firstLine="709"/>
        <w:jc w:val="both"/>
        <w:rPr>
          <w:rFonts w:ascii="Times New Roman" w:hAnsi="Times New Roman" w:cs="Times New Roman"/>
          <w:lang w:val="en-US"/>
        </w:rPr>
      </w:pPr>
      <w:r w:rsidRPr="00BD0259">
        <w:rPr>
          <w:rFonts w:ascii="Times New Roman" w:hAnsi="Times New Roman" w:cs="Times New Roman"/>
          <w:lang w:val="en-US"/>
        </w:rPr>
        <w:t xml:space="preserve">Since the end of World War II, the world has experienced profound changes in its political and economic landscape as countries seek to distance themselves from a historical scenario of perpetuating colonial relations. </w:t>
      </w:r>
      <w:r w:rsidR="00511374" w:rsidRPr="00511374">
        <w:rPr>
          <w:rFonts w:ascii="Times New Roman" w:hAnsi="Times New Roman" w:cs="Times New Roman"/>
          <w:lang w:val="en-US"/>
        </w:rPr>
        <w:t>Since the 1980s, there has been a process of differentiation in the participation of developing countries in the international division of labor. The first demonstration came with the entry of the New Industrialized Countries (NICs) to Hong Kong, Taiwan, South Korea, and Singapore in the world market, referred to in the literature as the first generation of emerging economies. However, as far as their participation in global governance on the Asian side is concerned, there have been no major attempts at projection, even because of their relatively limited power capacities, although South Korea</w:t>
      </w:r>
      <w:r w:rsidR="00511374">
        <w:rPr>
          <w:rFonts w:ascii="Times New Roman" w:hAnsi="Times New Roman" w:cs="Times New Roman"/>
          <w:lang w:val="en-US"/>
        </w:rPr>
        <w:t xml:space="preserve"> was at the origin of the G-77</w:t>
      </w:r>
      <w:r w:rsidR="00511374" w:rsidRPr="00511374">
        <w:rPr>
          <w:rFonts w:ascii="Times New Roman" w:hAnsi="Times New Roman" w:cs="Times New Roman"/>
          <w:lang w:val="en-US"/>
        </w:rPr>
        <w:t>, in 1964, a group created to promote the economic interests of underdeveloped countries</w:t>
      </w:r>
      <w:r w:rsidR="00511374">
        <w:rPr>
          <w:rFonts w:ascii="Times New Roman" w:hAnsi="Times New Roman" w:cs="Times New Roman"/>
          <w:lang w:val="en-US"/>
        </w:rPr>
        <w:t>.</w:t>
      </w:r>
    </w:p>
    <w:p w14:paraId="731EFBED" w14:textId="42BD3666" w:rsidR="00511374" w:rsidRPr="00511374" w:rsidRDefault="00511374" w:rsidP="00511374">
      <w:pPr>
        <w:pStyle w:val="Standard"/>
        <w:spacing w:line="360" w:lineRule="auto"/>
        <w:ind w:firstLine="709"/>
        <w:jc w:val="both"/>
        <w:rPr>
          <w:rFonts w:ascii="Times New Roman" w:hAnsi="Times New Roman" w:cs="Times New Roman"/>
          <w:lang w:val="en-US"/>
        </w:rPr>
      </w:pPr>
      <w:r w:rsidRPr="00511374">
        <w:rPr>
          <w:rFonts w:ascii="Times New Roman" w:hAnsi="Times New Roman" w:cs="Times New Roman"/>
          <w:lang w:val="en-US"/>
        </w:rPr>
        <w:t xml:space="preserve">Outside the sphere of the NICs, in the field of promoting movements contesting the prevailing international order of the time, in the 1960s, countries of the underdeveloped world (through the Non-Aligned Movement, with essentially political expression) and the G-77 articulated the Third World coalition. This was characterized by two distinctive aspects: a) a strong idealistic component, since its main flags </w:t>
      </w:r>
      <w:r>
        <w:rPr>
          <w:rFonts w:ascii="Times New Roman" w:hAnsi="Times New Roman" w:cs="Times New Roman"/>
          <w:lang w:val="en-US"/>
        </w:rPr>
        <w:t>were m</w:t>
      </w:r>
      <w:r w:rsidRPr="00511374">
        <w:rPr>
          <w:rFonts w:ascii="Times New Roman" w:hAnsi="Times New Roman" w:cs="Times New Roman"/>
          <w:lang w:val="en-US"/>
        </w:rPr>
        <w:t xml:space="preserve">odifying the international political economy, </w:t>
      </w:r>
      <w:r>
        <w:rPr>
          <w:rFonts w:ascii="Times New Roman" w:hAnsi="Times New Roman" w:cs="Times New Roman"/>
          <w:lang w:val="en-US"/>
        </w:rPr>
        <w:t>with</w:t>
      </w:r>
      <w:r w:rsidRPr="00511374">
        <w:rPr>
          <w:rFonts w:ascii="Times New Roman" w:hAnsi="Times New Roman" w:cs="Times New Roman"/>
          <w:lang w:val="en-US"/>
        </w:rPr>
        <w:t xml:space="preserve"> greater equity of international regimes, and the questioning of the liberal economic order, considered unfair by treating unequal as equals; and b) the great economic and political heterogeneity of its components, which created a problem of co</w:t>
      </w:r>
      <w:r>
        <w:rPr>
          <w:rFonts w:ascii="Times New Roman" w:hAnsi="Times New Roman" w:cs="Times New Roman"/>
          <w:lang w:val="en-US"/>
        </w:rPr>
        <w:t>ordination of collective action</w:t>
      </w:r>
      <w:r w:rsidRPr="00511374">
        <w:rPr>
          <w:rFonts w:ascii="Times New Roman" w:hAnsi="Times New Roman" w:cs="Times New Roman"/>
          <w:lang w:val="en-US"/>
        </w:rPr>
        <w:t>. Precisely due to the heterogeneity of the Southern coalition, its proposals were restricted to the universe of the development agenda and the international trade regime.</w:t>
      </w:r>
    </w:p>
    <w:p w14:paraId="06B3AA76" w14:textId="4AC02CE5" w:rsidR="00511374" w:rsidRPr="00511374" w:rsidRDefault="00511374" w:rsidP="00511374">
      <w:pPr>
        <w:pStyle w:val="Standard"/>
        <w:spacing w:line="360" w:lineRule="auto"/>
        <w:ind w:firstLine="709"/>
        <w:jc w:val="both"/>
        <w:rPr>
          <w:rFonts w:ascii="Times New Roman" w:hAnsi="Times New Roman" w:cs="Times New Roman"/>
          <w:lang w:val="en-US"/>
        </w:rPr>
      </w:pPr>
      <w:r w:rsidRPr="00511374">
        <w:rPr>
          <w:rFonts w:ascii="Times New Roman" w:hAnsi="Times New Roman" w:cs="Times New Roman"/>
          <w:lang w:val="en-US"/>
        </w:rPr>
        <w:t>The 1970s brought facts that profoundly undermined the Bretton Woods arrangement, upon which the foundation</w:t>
      </w:r>
      <w:r>
        <w:rPr>
          <w:rFonts w:ascii="Times New Roman" w:hAnsi="Times New Roman" w:cs="Times New Roman"/>
          <w:lang w:val="en-US"/>
        </w:rPr>
        <w:t>s of post-IIGM recovery and development</w:t>
      </w:r>
      <w:r w:rsidRPr="00511374">
        <w:rPr>
          <w:rFonts w:ascii="Times New Roman" w:hAnsi="Times New Roman" w:cs="Times New Roman"/>
          <w:lang w:val="en-US"/>
        </w:rPr>
        <w:t xml:space="preserve"> were built: 1) stagflation of the US economy (recession with inflation), with crisis the </w:t>
      </w:r>
      <w:proofErr w:type="spellStart"/>
      <w:r w:rsidRPr="00511374">
        <w:rPr>
          <w:rFonts w:ascii="Times New Roman" w:hAnsi="Times New Roman" w:cs="Times New Roman"/>
          <w:lang w:val="en-US"/>
        </w:rPr>
        <w:t>Fordist</w:t>
      </w:r>
      <w:proofErr w:type="spellEnd"/>
      <w:r w:rsidRPr="00511374">
        <w:rPr>
          <w:rFonts w:ascii="Times New Roman" w:hAnsi="Times New Roman" w:cs="Times New Roman"/>
          <w:lang w:val="en-US"/>
        </w:rPr>
        <w:t xml:space="preserve"> pattern of accumulation with twin deficits (fiscal and external), 2) the end of the gold dollar standard and the Bretton Woods system, with the emergence of floating exchange rates, 3) oil shocks; 4) intensification of international competition with the rise of the Japanese economy and the Southeast Asian countries (the New Industrialized Countries, NICs); 5) strengthening of the European Economic Community (EEC). In the 1980s, in response to this crisis, US Central Bank President Paul Volcker promoted US interest rate shocks in 1980, and countries that had debt in dollars saw their foreign debt increase exponentially, re</w:t>
      </w:r>
      <w:r>
        <w:rPr>
          <w:rFonts w:ascii="Times New Roman" w:hAnsi="Times New Roman" w:cs="Times New Roman"/>
          <w:lang w:val="en-US"/>
        </w:rPr>
        <w:t>sulting in a long decade of</w:t>
      </w:r>
      <w:r w:rsidRPr="00511374">
        <w:rPr>
          <w:rFonts w:ascii="Times New Roman" w:hAnsi="Times New Roman" w:cs="Times New Roman"/>
          <w:lang w:val="en-US"/>
        </w:rPr>
        <w:t xml:space="preserve"> economic crisis that has plagued every country in Latin America.</w:t>
      </w:r>
    </w:p>
    <w:p w14:paraId="359F31FB" w14:textId="1B082D27" w:rsidR="00511374" w:rsidRPr="00511374" w:rsidRDefault="00511374" w:rsidP="00511374">
      <w:pPr>
        <w:pStyle w:val="Standard"/>
        <w:spacing w:line="360" w:lineRule="auto"/>
        <w:ind w:firstLine="709"/>
        <w:jc w:val="both"/>
        <w:rPr>
          <w:rFonts w:ascii="Times New Roman" w:hAnsi="Times New Roman" w:cs="Times New Roman"/>
          <w:lang w:val="en-US"/>
        </w:rPr>
      </w:pPr>
      <w:r w:rsidRPr="00511374">
        <w:rPr>
          <w:rFonts w:ascii="Times New Roman" w:hAnsi="Times New Roman" w:cs="Times New Roman"/>
          <w:lang w:val="en-US"/>
        </w:rPr>
        <w:t>In the 1980s, a time of external crisis and hyperinflation, especially in Latin American countries, the focus of dominant development strategies shifted to finding solutions to microeconomic-based macro</w:t>
      </w:r>
      <w:r>
        <w:rPr>
          <w:rFonts w:ascii="Times New Roman" w:hAnsi="Times New Roman" w:cs="Times New Roman"/>
          <w:lang w:val="en-US"/>
        </w:rPr>
        <w:t>economic problems, adjustments</w:t>
      </w:r>
      <w:r w:rsidRPr="00511374">
        <w:rPr>
          <w:rFonts w:ascii="Times New Roman" w:hAnsi="Times New Roman" w:cs="Times New Roman"/>
          <w:lang w:val="en-US"/>
        </w:rPr>
        <w:t xml:space="preserve"> to fiscal imbalances, and</w:t>
      </w:r>
      <w:r>
        <w:rPr>
          <w:rFonts w:ascii="Times New Roman" w:hAnsi="Times New Roman" w:cs="Times New Roman"/>
          <w:lang w:val="en-US"/>
        </w:rPr>
        <w:t xml:space="preserve"> misguided monetary policies. Liberalizing measures c</w:t>
      </w:r>
      <w:r w:rsidRPr="00511374">
        <w:rPr>
          <w:rFonts w:ascii="Times New Roman" w:hAnsi="Times New Roman" w:cs="Times New Roman"/>
          <w:lang w:val="en-US"/>
        </w:rPr>
        <w:t>onsolidated under the “</w:t>
      </w:r>
      <w:proofErr w:type="spellStart"/>
      <w:r w:rsidRPr="00511374">
        <w:rPr>
          <w:rFonts w:ascii="Times New Roman" w:hAnsi="Times New Roman" w:cs="Times New Roman"/>
          <w:lang w:val="en-US"/>
        </w:rPr>
        <w:t>Washigton</w:t>
      </w:r>
      <w:proofErr w:type="spellEnd"/>
      <w:r w:rsidRPr="00511374">
        <w:rPr>
          <w:rFonts w:ascii="Times New Roman" w:hAnsi="Times New Roman" w:cs="Times New Roman"/>
          <w:lang w:val="en-US"/>
        </w:rPr>
        <w:t xml:space="preserve"> Consensus” aimed at fiscal surplus, monetary </w:t>
      </w:r>
      <w:proofErr w:type="gramStart"/>
      <w:r w:rsidRPr="00511374">
        <w:rPr>
          <w:rFonts w:ascii="Times New Roman" w:hAnsi="Times New Roman" w:cs="Times New Roman"/>
          <w:lang w:val="en-US"/>
        </w:rPr>
        <w:t>stabilization,</w:t>
      </w:r>
      <w:proofErr w:type="gramEnd"/>
      <w:r w:rsidRPr="00511374">
        <w:rPr>
          <w:rFonts w:ascii="Times New Roman" w:hAnsi="Times New Roman" w:cs="Times New Roman"/>
          <w:lang w:val="en-US"/>
        </w:rPr>
        <w:t xml:space="preserve"> market liberalization and privatization have become conditional on the release of IMF loan packages and spread into the developing world.</w:t>
      </w:r>
    </w:p>
    <w:p w14:paraId="752772DC" w14:textId="543DCD12" w:rsidR="00511374" w:rsidRDefault="00511374" w:rsidP="00511374">
      <w:pPr>
        <w:pStyle w:val="Standard"/>
        <w:spacing w:line="360" w:lineRule="auto"/>
        <w:ind w:firstLine="709"/>
        <w:jc w:val="both"/>
        <w:rPr>
          <w:rFonts w:ascii="Times New Roman" w:hAnsi="Times New Roman" w:cs="Times New Roman"/>
          <w:lang w:val="en-US"/>
        </w:rPr>
      </w:pPr>
      <w:r w:rsidRPr="00511374">
        <w:rPr>
          <w:rFonts w:ascii="Times New Roman" w:hAnsi="Times New Roman" w:cs="Times New Roman"/>
          <w:lang w:val="en-US"/>
        </w:rPr>
        <w:t>Three major events of the late twentieth century played a central role in shifting perspectives on development strategies. The first wa</w:t>
      </w:r>
      <w:r>
        <w:rPr>
          <w:rFonts w:ascii="Times New Roman" w:hAnsi="Times New Roman" w:cs="Times New Roman"/>
          <w:lang w:val="en-US"/>
        </w:rPr>
        <w:t>s the collapse of the socialist/</w:t>
      </w:r>
      <w:r w:rsidRPr="00511374">
        <w:rPr>
          <w:rFonts w:ascii="Times New Roman" w:hAnsi="Times New Roman" w:cs="Times New Roman"/>
          <w:lang w:val="en-US"/>
        </w:rPr>
        <w:t>communist economies and the end of the Cold War, the second stemmed from the limitations of the “Washington Consensus” measures promoted, and the third was the consolidation of the development of East Asian countries. In this context, the third-world coalition was disjointed, although the issues surrounding unequal development remained on the debate agenda.</w:t>
      </w:r>
    </w:p>
    <w:p w14:paraId="56460FEA" w14:textId="6D78AE7B" w:rsidR="00BD0259" w:rsidRPr="00BD0259" w:rsidRDefault="00511374" w:rsidP="00FB0F02">
      <w:pPr>
        <w:pStyle w:val="Standard"/>
        <w:spacing w:line="360" w:lineRule="auto"/>
        <w:ind w:firstLine="709"/>
        <w:jc w:val="both"/>
        <w:rPr>
          <w:rFonts w:ascii="Times New Roman" w:hAnsi="Times New Roman" w:cs="Times New Roman"/>
          <w:lang w:val="en-US"/>
        </w:rPr>
      </w:pPr>
      <w:r>
        <w:rPr>
          <w:rFonts w:ascii="Times New Roman" w:hAnsi="Times New Roman" w:cs="Times New Roman"/>
          <w:lang w:val="en-US"/>
        </w:rPr>
        <w:t xml:space="preserve">Within this context, Abrahamsen (2004) discusses </w:t>
      </w:r>
      <w:r w:rsidR="00BD0259" w:rsidRPr="00BD0259">
        <w:rPr>
          <w:rFonts w:ascii="Times New Roman" w:hAnsi="Times New Roman" w:cs="Times New Roman"/>
          <w:lang w:val="en-US"/>
        </w:rPr>
        <w:t xml:space="preserve">the difficulty of establishing a genuine partnership relationship based on equality and respect between the North and South countries and adds factors that reside in the existing economic and power disparity. Such counterpoints also represent the heart of South-South Cooperation. </w:t>
      </w:r>
      <w:proofErr w:type="spellStart"/>
      <w:r w:rsidR="00BD0259" w:rsidRPr="00BD0259">
        <w:rPr>
          <w:rFonts w:ascii="Times New Roman" w:hAnsi="Times New Roman" w:cs="Times New Roman"/>
          <w:lang w:val="en-US"/>
        </w:rPr>
        <w:t>Bergamaschi</w:t>
      </w:r>
      <w:proofErr w:type="spellEnd"/>
      <w:r>
        <w:rPr>
          <w:rFonts w:ascii="Times New Roman" w:hAnsi="Times New Roman" w:cs="Times New Roman"/>
          <w:lang w:val="en-US"/>
        </w:rPr>
        <w:t xml:space="preserve"> et al. </w:t>
      </w:r>
      <w:r w:rsidR="00BD0259" w:rsidRPr="00BD0259">
        <w:rPr>
          <w:rFonts w:ascii="Times New Roman" w:hAnsi="Times New Roman" w:cs="Times New Roman"/>
          <w:lang w:val="en-US"/>
        </w:rPr>
        <w:t>(2017) justify that the overcoming of the traditional aid system had as its protagonist the multilateral and regional coalitions</w:t>
      </w:r>
      <w:r w:rsidR="00BD0259">
        <w:rPr>
          <w:rFonts w:ascii="Times New Roman" w:hAnsi="Times New Roman" w:cs="Times New Roman"/>
          <w:lang w:val="en-US"/>
        </w:rPr>
        <w:t xml:space="preserve"> formed by developing countries.</w:t>
      </w:r>
      <w:r w:rsidR="00BD0259" w:rsidRPr="00BD0259">
        <w:rPr>
          <w:rFonts w:ascii="Times New Roman" w:hAnsi="Times New Roman" w:cs="Times New Roman"/>
          <w:lang w:val="en-US"/>
        </w:rPr>
        <w:t xml:space="preserve"> These organizations have become responsible for the protection of the interests of the global South, even establishing a new paradigm of international governance.</w:t>
      </w:r>
    </w:p>
    <w:p w14:paraId="5D9CFD07" w14:textId="2CD5AC0E" w:rsidR="00BD0259" w:rsidRDefault="00BD0259" w:rsidP="00BD0259">
      <w:pPr>
        <w:pStyle w:val="Standard"/>
        <w:spacing w:line="360" w:lineRule="auto"/>
        <w:ind w:firstLine="709"/>
        <w:jc w:val="both"/>
        <w:rPr>
          <w:rFonts w:ascii="Times New Roman" w:hAnsi="Times New Roman" w:cs="Times New Roman"/>
          <w:lang w:val="en-US"/>
        </w:rPr>
      </w:pPr>
      <w:r w:rsidRPr="00BD0259">
        <w:rPr>
          <w:rFonts w:ascii="Times New Roman" w:hAnsi="Times New Roman" w:cs="Times New Roman"/>
          <w:lang w:val="en-US"/>
        </w:rPr>
        <w:t xml:space="preserve">There are </w:t>
      </w:r>
      <w:r>
        <w:rPr>
          <w:rFonts w:ascii="Times New Roman" w:hAnsi="Times New Roman" w:cs="Times New Roman"/>
          <w:lang w:val="en-US"/>
        </w:rPr>
        <w:t xml:space="preserve">several </w:t>
      </w:r>
      <w:r w:rsidRPr="00BD0259">
        <w:rPr>
          <w:rFonts w:ascii="Times New Roman" w:hAnsi="Times New Roman" w:cs="Times New Roman"/>
          <w:lang w:val="en-US"/>
        </w:rPr>
        <w:t>difficulties regarding the specific concept of Global Governance (GG), Barnett and Duval (2004) point out that with the intensification of the connections between states and people, a process generally called globalization, the creation of global governance is presumed necessary, improving people's ability to cooperate in a healthy competitive environment sharing a tune of interests and values. In this context, the role of governance is attributed to the whole set of political actors and agents, intergovernmental entities, multilateral organizations, private, formal and informal institutions that make up the regulation, structuring and standardization of existing contracts and agreements on specific topics such as economics, environment, development, security and others.</w:t>
      </w:r>
    </w:p>
    <w:p w14:paraId="22753F67" w14:textId="11132C87" w:rsidR="00BD0259" w:rsidRDefault="00F77C53">
      <w:pPr>
        <w:pStyle w:val="Standard"/>
        <w:spacing w:line="360" w:lineRule="auto"/>
        <w:jc w:val="both"/>
        <w:rPr>
          <w:rFonts w:ascii="Times New Roman" w:hAnsi="Times New Roman" w:cs="Times New Roman"/>
          <w:lang w:val="en-US"/>
        </w:rPr>
      </w:pPr>
      <w:r w:rsidRPr="00BD0259">
        <w:rPr>
          <w:rFonts w:ascii="Times New Roman" w:hAnsi="Times New Roman" w:cs="Times New Roman"/>
          <w:lang w:val="en-US"/>
        </w:rPr>
        <w:tab/>
      </w:r>
      <w:r w:rsidR="00BD0259" w:rsidRPr="00BD0259">
        <w:rPr>
          <w:rFonts w:ascii="Times New Roman" w:hAnsi="Times New Roman" w:cs="Times New Roman"/>
          <w:lang w:val="en-US"/>
        </w:rPr>
        <w:t xml:space="preserve">Another more recent </w:t>
      </w:r>
      <w:r w:rsidR="00BD0259">
        <w:rPr>
          <w:rFonts w:ascii="Times New Roman" w:hAnsi="Times New Roman" w:cs="Times New Roman"/>
          <w:lang w:val="en-US"/>
        </w:rPr>
        <w:t xml:space="preserve">perspective </w:t>
      </w:r>
      <w:r w:rsidR="00BD0259" w:rsidRPr="00BD0259">
        <w:rPr>
          <w:rFonts w:ascii="Times New Roman" w:hAnsi="Times New Roman" w:cs="Times New Roman"/>
          <w:lang w:val="en-US"/>
        </w:rPr>
        <w:t xml:space="preserve">on the subject is introduced by </w:t>
      </w:r>
      <w:proofErr w:type="spellStart"/>
      <w:r w:rsidR="00BD0259" w:rsidRPr="00BD0259">
        <w:rPr>
          <w:rFonts w:ascii="Times New Roman" w:hAnsi="Times New Roman" w:cs="Times New Roman"/>
          <w:lang w:val="en-US"/>
        </w:rPr>
        <w:t>Zürn</w:t>
      </w:r>
      <w:proofErr w:type="spellEnd"/>
      <w:r w:rsidR="00BD0259" w:rsidRPr="00BD0259">
        <w:rPr>
          <w:rFonts w:ascii="Times New Roman" w:hAnsi="Times New Roman" w:cs="Times New Roman"/>
          <w:lang w:val="en-US"/>
        </w:rPr>
        <w:t xml:space="preserve"> (2018), who explains governance as a set of multi-stakeholder efforts, regardless o</w:t>
      </w:r>
      <w:r w:rsidR="00BD0259">
        <w:rPr>
          <w:rFonts w:ascii="Times New Roman" w:hAnsi="Times New Roman" w:cs="Times New Roman"/>
          <w:lang w:val="en-US"/>
        </w:rPr>
        <w:t>f whether this action is global. H</w:t>
      </w:r>
      <w:r w:rsidR="00BD0259" w:rsidRPr="00BD0259">
        <w:rPr>
          <w:rFonts w:ascii="Times New Roman" w:hAnsi="Times New Roman" w:cs="Times New Roman"/>
          <w:lang w:val="en-US"/>
        </w:rPr>
        <w:t>e exemplifies intergovernmental actors such as the United Nation Security Co</w:t>
      </w:r>
      <w:r w:rsidR="00BD0259">
        <w:rPr>
          <w:rFonts w:ascii="Times New Roman" w:hAnsi="Times New Roman" w:cs="Times New Roman"/>
          <w:lang w:val="en-US"/>
        </w:rPr>
        <w:t>uncil (UNSC), authorizing</w:t>
      </w:r>
      <w:r w:rsidR="00BD0259" w:rsidRPr="00BD0259">
        <w:rPr>
          <w:rFonts w:ascii="Times New Roman" w:hAnsi="Times New Roman" w:cs="Times New Roman"/>
          <w:lang w:val="en-US"/>
        </w:rPr>
        <w:t xml:space="preserve"> military </w:t>
      </w:r>
      <w:r w:rsidR="00BD0259">
        <w:rPr>
          <w:rFonts w:ascii="Times New Roman" w:hAnsi="Times New Roman" w:cs="Times New Roman"/>
          <w:lang w:val="en-US"/>
        </w:rPr>
        <w:t>intervention in a given area; or</w:t>
      </w:r>
      <w:r w:rsidR="00BD0259" w:rsidRPr="00BD0259">
        <w:rPr>
          <w:rFonts w:ascii="Times New Roman" w:hAnsi="Times New Roman" w:cs="Times New Roman"/>
          <w:lang w:val="en-US"/>
        </w:rPr>
        <w:t xml:space="preserve"> Nonprofit Organizations</w:t>
      </w:r>
      <w:r w:rsidR="00BD0259">
        <w:rPr>
          <w:rFonts w:ascii="Times New Roman" w:hAnsi="Times New Roman" w:cs="Times New Roman"/>
          <w:lang w:val="en-US"/>
        </w:rPr>
        <w:t xml:space="preserve">, </w:t>
      </w:r>
      <w:r w:rsidR="00BD0259" w:rsidRPr="00BD0259">
        <w:rPr>
          <w:rFonts w:ascii="Times New Roman" w:hAnsi="Times New Roman" w:cs="Times New Roman"/>
          <w:lang w:val="en-US"/>
        </w:rPr>
        <w:t>working on a large scale to eradicate poverty, hunger and technology assistance; in addition to other</w:t>
      </w:r>
      <w:r w:rsidR="00BD0259">
        <w:rPr>
          <w:rFonts w:ascii="Times New Roman" w:hAnsi="Times New Roman" w:cs="Times New Roman"/>
          <w:lang w:val="en-US"/>
        </w:rPr>
        <w:t xml:space="preserve"> multilateral institutions and world o</w:t>
      </w:r>
      <w:r w:rsidR="00BD0259" w:rsidRPr="00BD0259">
        <w:rPr>
          <w:rFonts w:ascii="Times New Roman" w:hAnsi="Times New Roman" w:cs="Times New Roman"/>
          <w:lang w:val="en-US"/>
        </w:rPr>
        <w:t xml:space="preserve">rganizations that set the rules in the financial market of scales and credit ratings for loans. That is, according to </w:t>
      </w:r>
      <w:proofErr w:type="spellStart"/>
      <w:r w:rsidR="00BD0259" w:rsidRPr="00BD0259">
        <w:rPr>
          <w:rFonts w:ascii="Times New Roman" w:hAnsi="Times New Roman" w:cs="Times New Roman"/>
          <w:lang w:val="en-US"/>
        </w:rPr>
        <w:t>Zürn</w:t>
      </w:r>
      <w:proofErr w:type="spellEnd"/>
      <w:r w:rsidR="00BD0259" w:rsidRPr="00BD0259">
        <w:rPr>
          <w:rFonts w:ascii="Times New Roman" w:hAnsi="Times New Roman" w:cs="Times New Roman"/>
          <w:lang w:val="en-US"/>
        </w:rPr>
        <w:t xml:space="preserve"> (2018), governance is directly linked to the power and influence that each actor has in the pursuit of a given objective</w:t>
      </w:r>
      <w:r w:rsidR="00BD0259">
        <w:rPr>
          <w:rFonts w:ascii="Times New Roman" w:hAnsi="Times New Roman" w:cs="Times New Roman"/>
          <w:lang w:val="en-US"/>
        </w:rPr>
        <w:t>. While</w:t>
      </w:r>
      <w:r w:rsidR="00BD0259" w:rsidRPr="00BD0259">
        <w:rPr>
          <w:rFonts w:ascii="Times New Roman" w:hAnsi="Times New Roman" w:cs="Times New Roman"/>
          <w:lang w:val="en-US"/>
        </w:rPr>
        <w:t xml:space="preserve"> many institutions </w:t>
      </w:r>
      <w:r w:rsidR="00BD0259">
        <w:rPr>
          <w:rFonts w:ascii="Times New Roman" w:hAnsi="Times New Roman" w:cs="Times New Roman"/>
          <w:lang w:val="en-US"/>
        </w:rPr>
        <w:t xml:space="preserve">are </w:t>
      </w:r>
      <w:r w:rsidR="00BD0259" w:rsidRPr="00BD0259">
        <w:rPr>
          <w:rFonts w:ascii="Times New Roman" w:hAnsi="Times New Roman" w:cs="Times New Roman"/>
          <w:lang w:val="en-US"/>
        </w:rPr>
        <w:t>composed of some stakeholders, such as the OEC</w:t>
      </w:r>
      <w:r w:rsidR="00BD0259">
        <w:rPr>
          <w:rFonts w:ascii="Times New Roman" w:hAnsi="Times New Roman" w:cs="Times New Roman"/>
          <w:lang w:val="en-US"/>
        </w:rPr>
        <w:t>D and World Trade Organization (</w:t>
      </w:r>
      <w:r w:rsidR="00BD0259" w:rsidRPr="00BD0259">
        <w:rPr>
          <w:rFonts w:ascii="Times New Roman" w:hAnsi="Times New Roman" w:cs="Times New Roman"/>
          <w:lang w:val="en-US"/>
        </w:rPr>
        <w:t>WTO</w:t>
      </w:r>
      <w:r w:rsidR="00BD0259">
        <w:rPr>
          <w:rFonts w:ascii="Times New Roman" w:hAnsi="Times New Roman" w:cs="Times New Roman"/>
          <w:lang w:val="en-US"/>
        </w:rPr>
        <w:t>)</w:t>
      </w:r>
      <w:proofErr w:type="gramStart"/>
      <w:r w:rsidR="00BD0259" w:rsidRPr="00BD0259">
        <w:rPr>
          <w:rFonts w:ascii="Times New Roman" w:hAnsi="Times New Roman" w:cs="Times New Roman"/>
          <w:lang w:val="en-US"/>
        </w:rPr>
        <w:t>;</w:t>
      </w:r>
      <w:proofErr w:type="gramEnd"/>
      <w:r w:rsidR="00BD0259" w:rsidRPr="00BD0259">
        <w:rPr>
          <w:rFonts w:ascii="Times New Roman" w:hAnsi="Times New Roman" w:cs="Times New Roman"/>
          <w:lang w:val="en-US"/>
        </w:rPr>
        <w:t xml:space="preserve"> </w:t>
      </w:r>
      <w:r w:rsidR="00BD0259">
        <w:rPr>
          <w:rFonts w:ascii="Times New Roman" w:hAnsi="Times New Roman" w:cs="Times New Roman"/>
          <w:lang w:val="en-US"/>
        </w:rPr>
        <w:t xml:space="preserve">others may carry </w:t>
      </w:r>
      <w:r w:rsidR="00BD0259" w:rsidRPr="00BD0259">
        <w:rPr>
          <w:rFonts w:ascii="Times New Roman" w:hAnsi="Times New Roman" w:cs="Times New Roman"/>
          <w:lang w:val="en-US"/>
        </w:rPr>
        <w:t>regional governance interests that are valid for the whole concept presented, such as the European Union (EU) or the new trade agreement between USA, Mexico and Canada (NAFTA 2.0).</w:t>
      </w:r>
    </w:p>
    <w:p w14:paraId="3D38BBAF" w14:textId="2A6E7FFD" w:rsidR="00BD0259" w:rsidRPr="00BD0259" w:rsidRDefault="00F77C53" w:rsidP="00BD0259">
      <w:pPr>
        <w:pStyle w:val="Standard"/>
        <w:spacing w:line="360" w:lineRule="auto"/>
        <w:jc w:val="both"/>
        <w:rPr>
          <w:rFonts w:ascii="Times New Roman" w:hAnsi="Times New Roman" w:cs="Times New Roman"/>
          <w:lang w:val="en-US"/>
        </w:rPr>
      </w:pPr>
      <w:r w:rsidRPr="00BD0259">
        <w:rPr>
          <w:rFonts w:ascii="Times New Roman" w:hAnsi="Times New Roman" w:cs="Times New Roman"/>
          <w:lang w:val="en-US"/>
        </w:rPr>
        <w:tab/>
      </w:r>
      <w:r w:rsidR="00BD0259" w:rsidRPr="00BD0259">
        <w:rPr>
          <w:rFonts w:ascii="Times New Roman" w:hAnsi="Times New Roman" w:cs="Times New Roman"/>
          <w:lang w:val="en-US"/>
        </w:rPr>
        <w:t xml:space="preserve">The difficulty in conceptualizing the theme of Global Governance is pertinent to the scope of the object, the varied forms of influence, the authorities involved, the coalitions formed, and especially the resolution of problems on a worldwide scale. Therefore, theories </w:t>
      </w:r>
      <w:r w:rsidR="00BD0259">
        <w:rPr>
          <w:rFonts w:ascii="Times New Roman" w:hAnsi="Times New Roman" w:cs="Times New Roman"/>
          <w:lang w:val="en-US"/>
        </w:rPr>
        <w:t>usually present global governance as</w:t>
      </w:r>
      <w:r w:rsidR="00BD0259" w:rsidRPr="00BD0259">
        <w:rPr>
          <w:rFonts w:ascii="Times New Roman" w:hAnsi="Times New Roman" w:cs="Times New Roman"/>
          <w:lang w:val="en-US"/>
        </w:rPr>
        <w:t xml:space="preserve"> a system of rules that require compliance, accountability and transparency.</w:t>
      </w:r>
    </w:p>
    <w:p w14:paraId="24DFEDD4" w14:textId="77777777" w:rsidR="00BD0259" w:rsidRDefault="00BD0259" w:rsidP="00BD0259">
      <w:pPr>
        <w:pStyle w:val="Standard"/>
        <w:spacing w:line="360" w:lineRule="auto"/>
        <w:ind w:firstLine="709"/>
        <w:jc w:val="both"/>
        <w:rPr>
          <w:rFonts w:ascii="Times New Roman" w:hAnsi="Times New Roman" w:cs="Times New Roman"/>
          <w:lang w:val="en-US"/>
        </w:rPr>
      </w:pPr>
      <w:r w:rsidRPr="00BD0259">
        <w:rPr>
          <w:rFonts w:ascii="Times New Roman" w:hAnsi="Times New Roman" w:cs="Times New Roman"/>
          <w:lang w:val="en-US"/>
        </w:rPr>
        <w:t>In this context, the geopolitical disputes of power are intensified and actors such as the BRICS are indispensable to balance the balance of power and to emerge as an alternative of representative governance, especially to the interests of developing countries. BRICS are an important part of global governance when looking at each member's role in the world market, financial investments and international migration (</w:t>
      </w:r>
      <w:proofErr w:type="spellStart"/>
      <w:r w:rsidRPr="00BD0259">
        <w:rPr>
          <w:rFonts w:ascii="Times New Roman" w:hAnsi="Times New Roman" w:cs="Times New Roman"/>
          <w:lang w:val="en-US"/>
        </w:rPr>
        <w:t>Nayyar</w:t>
      </w:r>
      <w:proofErr w:type="spellEnd"/>
      <w:r w:rsidRPr="00BD0259">
        <w:rPr>
          <w:rFonts w:ascii="Times New Roman" w:hAnsi="Times New Roman" w:cs="Times New Roman"/>
          <w:lang w:val="en-US"/>
        </w:rPr>
        <w:t xml:space="preserve">, 2016). </w:t>
      </w:r>
    </w:p>
    <w:p w14:paraId="29BD62F2" w14:textId="3DB3B515" w:rsidR="005721E4" w:rsidRDefault="00BD0259" w:rsidP="00BD0259">
      <w:pPr>
        <w:pStyle w:val="Standard"/>
        <w:spacing w:line="360" w:lineRule="auto"/>
        <w:ind w:firstLine="709"/>
        <w:jc w:val="both"/>
        <w:rPr>
          <w:rFonts w:ascii="Times New Roman" w:hAnsi="Times New Roman" w:cs="Times New Roman"/>
          <w:lang w:val="en-US"/>
        </w:rPr>
      </w:pPr>
      <w:proofErr w:type="spellStart"/>
      <w:r w:rsidRPr="00BD0259">
        <w:rPr>
          <w:rFonts w:ascii="Times New Roman" w:hAnsi="Times New Roman" w:cs="Times New Roman"/>
          <w:lang w:val="en-US"/>
        </w:rPr>
        <w:t>Abdenur</w:t>
      </w:r>
      <w:proofErr w:type="spellEnd"/>
      <w:r w:rsidRPr="00BD0259">
        <w:rPr>
          <w:rFonts w:ascii="Times New Roman" w:hAnsi="Times New Roman" w:cs="Times New Roman"/>
          <w:lang w:val="en-US"/>
        </w:rPr>
        <w:t xml:space="preserve"> and Folly (2015) configure the role of the BRICS in global governance as anti-hegemonic, based on a multipolar system of representativeness. And in this context, </w:t>
      </w:r>
      <w:proofErr w:type="spellStart"/>
      <w:r w:rsidRPr="00BD0259">
        <w:rPr>
          <w:rFonts w:ascii="Times New Roman" w:hAnsi="Times New Roman" w:cs="Times New Roman"/>
          <w:lang w:val="en-US"/>
        </w:rPr>
        <w:t>Esteves</w:t>
      </w:r>
      <w:proofErr w:type="spellEnd"/>
      <w:r w:rsidRPr="00BD0259">
        <w:rPr>
          <w:rFonts w:ascii="Times New Roman" w:hAnsi="Times New Roman" w:cs="Times New Roman"/>
          <w:lang w:val="en-US"/>
        </w:rPr>
        <w:t xml:space="preserve"> et al. (2016) assert that the group presents an agenda with two main issues: strengthening the G20 as a global governance force and, above all, reforming international financial institutions.</w:t>
      </w:r>
    </w:p>
    <w:p w14:paraId="1B6C4D58" w14:textId="77777777" w:rsidR="00BD0259" w:rsidRPr="00BD0259" w:rsidRDefault="00BD0259">
      <w:pPr>
        <w:pStyle w:val="Standard"/>
        <w:spacing w:line="360" w:lineRule="auto"/>
        <w:jc w:val="both"/>
        <w:rPr>
          <w:rFonts w:ascii="Times New Roman" w:hAnsi="Times New Roman" w:cs="Times New Roman"/>
          <w:shd w:val="clear" w:color="auto" w:fill="F915D2"/>
          <w:lang w:val="en-US"/>
        </w:rPr>
      </w:pPr>
    </w:p>
    <w:p w14:paraId="7D3921E4" w14:textId="29EAB436" w:rsidR="00F37D16" w:rsidRPr="006955D3" w:rsidRDefault="00F77C53">
      <w:pPr>
        <w:pStyle w:val="Standard"/>
        <w:spacing w:line="360" w:lineRule="auto"/>
        <w:jc w:val="both"/>
        <w:rPr>
          <w:rFonts w:ascii="Times New Roman" w:hAnsi="Times New Roman" w:cs="Times New Roman"/>
          <w:b/>
          <w:bCs/>
          <w:lang w:val="en-US"/>
        </w:rPr>
      </w:pPr>
      <w:r w:rsidRPr="00066846">
        <w:rPr>
          <w:rFonts w:ascii="Times New Roman" w:hAnsi="Times New Roman" w:cs="Times New Roman"/>
          <w:b/>
          <w:bCs/>
        </w:rPr>
        <w:t xml:space="preserve">3.  </w:t>
      </w:r>
      <w:r w:rsidRPr="006955D3">
        <w:rPr>
          <w:rFonts w:ascii="Times New Roman" w:hAnsi="Times New Roman" w:cs="Times New Roman"/>
          <w:b/>
          <w:bCs/>
          <w:lang w:val="en-US"/>
        </w:rPr>
        <w:t>INTERNATIONAL FINANCIAL SYSTEM</w:t>
      </w:r>
      <w:r w:rsidR="006955D3">
        <w:rPr>
          <w:rFonts w:ascii="Times New Roman" w:hAnsi="Times New Roman" w:cs="Times New Roman"/>
          <w:b/>
          <w:bCs/>
          <w:lang w:val="en-US"/>
        </w:rPr>
        <w:t xml:space="preserve"> AND THE ROLE OF THE NEW DEVELOPMENT BANK</w:t>
      </w:r>
    </w:p>
    <w:p w14:paraId="1D2F1B04" w14:textId="77777777" w:rsidR="00F52A78" w:rsidRPr="006955D3" w:rsidRDefault="00F52A78">
      <w:pPr>
        <w:pStyle w:val="Standard"/>
        <w:spacing w:line="360" w:lineRule="auto"/>
        <w:jc w:val="both"/>
        <w:rPr>
          <w:rFonts w:ascii="Times New Roman" w:hAnsi="Times New Roman" w:cs="Times New Roman"/>
          <w:b/>
          <w:bCs/>
          <w:lang w:val="en-US"/>
        </w:rPr>
      </w:pPr>
    </w:p>
    <w:p w14:paraId="583A6929" w14:textId="77777777" w:rsidR="00025382" w:rsidRDefault="00F77C53" w:rsidP="003764E5">
      <w:pPr>
        <w:pStyle w:val="Standard"/>
        <w:spacing w:line="360" w:lineRule="auto"/>
        <w:jc w:val="both"/>
        <w:rPr>
          <w:rFonts w:ascii="Times New Roman" w:hAnsi="Times New Roman" w:cs="Times New Roman"/>
          <w:lang w:val="en-US"/>
        </w:rPr>
      </w:pPr>
      <w:r w:rsidRPr="006955D3">
        <w:rPr>
          <w:rFonts w:ascii="Times New Roman" w:hAnsi="Times New Roman" w:cs="Times New Roman"/>
          <w:lang w:val="en-US"/>
        </w:rPr>
        <w:tab/>
      </w:r>
      <w:r w:rsidR="003764E5" w:rsidRPr="003764E5">
        <w:rPr>
          <w:rFonts w:ascii="Times New Roman" w:hAnsi="Times New Roman" w:cs="Times New Roman"/>
          <w:lang w:val="en-US"/>
        </w:rPr>
        <w:t>In directing the governance discussion to the context of the international financial system</w:t>
      </w:r>
      <w:r w:rsidR="003764E5">
        <w:rPr>
          <w:rFonts w:ascii="Times New Roman" w:hAnsi="Times New Roman" w:cs="Times New Roman"/>
          <w:lang w:val="en-US"/>
        </w:rPr>
        <w:t xml:space="preserve"> (IFS)</w:t>
      </w:r>
      <w:r w:rsidR="003764E5" w:rsidRPr="003764E5">
        <w:rPr>
          <w:rFonts w:ascii="Times New Roman" w:hAnsi="Times New Roman" w:cs="Times New Roman"/>
          <w:lang w:val="en-US"/>
        </w:rPr>
        <w:t xml:space="preserve">, some lines of research are emerging, especially in studies of international political economy. On the one hand, a classic dimension dates back to issues of hegemony. In this respect, </w:t>
      </w:r>
      <w:proofErr w:type="spellStart"/>
      <w:r w:rsidR="003764E5" w:rsidRPr="003764E5">
        <w:rPr>
          <w:rFonts w:ascii="Times New Roman" w:hAnsi="Times New Roman" w:cs="Times New Roman"/>
          <w:lang w:val="en-US"/>
        </w:rPr>
        <w:t>Gourinchas</w:t>
      </w:r>
      <w:proofErr w:type="spellEnd"/>
      <w:r w:rsidR="003764E5" w:rsidRPr="003764E5">
        <w:rPr>
          <w:rFonts w:ascii="Times New Roman" w:hAnsi="Times New Roman" w:cs="Times New Roman"/>
          <w:lang w:val="en-US"/>
        </w:rPr>
        <w:t xml:space="preserve">, Rey and </w:t>
      </w:r>
      <w:proofErr w:type="spellStart"/>
      <w:r w:rsidR="003764E5" w:rsidRPr="003764E5">
        <w:rPr>
          <w:rFonts w:ascii="Times New Roman" w:hAnsi="Times New Roman" w:cs="Times New Roman"/>
          <w:lang w:val="en-US"/>
        </w:rPr>
        <w:t>Sauzet</w:t>
      </w:r>
      <w:proofErr w:type="spellEnd"/>
      <w:r w:rsidR="003764E5" w:rsidRPr="003764E5">
        <w:rPr>
          <w:rFonts w:ascii="Times New Roman" w:hAnsi="Times New Roman" w:cs="Times New Roman"/>
          <w:lang w:val="en-US"/>
        </w:rPr>
        <w:t xml:space="preserve"> (2019), for example, point out a link between the rise and depression of great hegemonies, based on historical crises as triggers of change. Noteworthy are the transitions between hegemonic leaders, as occurred in the 1930s with the diminishing British influence in relation to the rise of the USA, </w:t>
      </w:r>
      <w:r w:rsidR="003764E5">
        <w:rPr>
          <w:rFonts w:ascii="Times New Roman" w:hAnsi="Times New Roman" w:cs="Times New Roman"/>
          <w:lang w:val="en-US"/>
        </w:rPr>
        <w:t xml:space="preserve">consolidated by </w:t>
      </w:r>
      <w:r w:rsidR="003764E5" w:rsidRPr="003764E5">
        <w:rPr>
          <w:rFonts w:ascii="Times New Roman" w:hAnsi="Times New Roman" w:cs="Times New Roman"/>
          <w:lang w:val="en-US"/>
        </w:rPr>
        <w:t>the post-World War II with the Bretton Woods system</w:t>
      </w:r>
      <w:r w:rsidR="003764E5">
        <w:rPr>
          <w:rFonts w:ascii="Times New Roman" w:hAnsi="Times New Roman" w:cs="Times New Roman"/>
          <w:lang w:val="en-US"/>
        </w:rPr>
        <w:t xml:space="preserve">. </w:t>
      </w:r>
      <w:proofErr w:type="gramStart"/>
      <w:r w:rsidR="003764E5">
        <w:rPr>
          <w:rFonts w:ascii="Times New Roman" w:hAnsi="Times New Roman" w:cs="Times New Roman"/>
          <w:lang w:val="en-US"/>
        </w:rPr>
        <w:t>M</w:t>
      </w:r>
      <w:r w:rsidR="003764E5" w:rsidRPr="003764E5">
        <w:rPr>
          <w:rFonts w:ascii="Times New Roman" w:hAnsi="Times New Roman" w:cs="Times New Roman"/>
          <w:lang w:val="en-US"/>
        </w:rPr>
        <w:t>ore recently, the economic contrac</w:t>
      </w:r>
      <w:r w:rsidR="003764E5">
        <w:rPr>
          <w:rFonts w:ascii="Times New Roman" w:hAnsi="Times New Roman" w:cs="Times New Roman"/>
          <w:lang w:val="en-US"/>
        </w:rPr>
        <w:t>tion of several Asian countries in</w:t>
      </w:r>
      <w:r w:rsidR="003764E5" w:rsidRPr="003764E5">
        <w:rPr>
          <w:rFonts w:ascii="Times New Roman" w:hAnsi="Times New Roman" w:cs="Times New Roman"/>
          <w:lang w:val="en-US"/>
        </w:rPr>
        <w:t xml:space="preserve"> the late 1990s</w:t>
      </w:r>
      <w:r w:rsidR="003764E5">
        <w:rPr>
          <w:rFonts w:ascii="Times New Roman" w:hAnsi="Times New Roman" w:cs="Times New Roman"/>
          <w:lang w:val="en-US"/>
        </w:rPr>
        <w:t>,</w:t>
      </w:r>
      <w:r w:rsidR="003764E5" w:rsidRPr="003764E5">
        <w:rPr>
          <w:rFonts w:ascii="Times New Roman" w:hAnsi="Times New Roman" w:cs="Times New Roman"/>
          <w:lang w:val="en-US"/>
        </w:rPr>
        <w:t xml:space="preserve"> versus the rise of the Chinese economy</w:t>
      </w:r>
      <w:r w:rsidR="003764E5">
        <w:rPr>
          <w:rFonts w:ascii="Times New Roman" w:hAnsi="Times New Roman" w:cs="Times New Roman"/>
          <w:lang w:val="en-US"/>
        </w:rPr>
        <w:t xml:space="preserve">, which gained more prominence with </w:t>
      </w:r>
      <w:r w:rsidR="003764E5" w:rsidRPr="003764E5">
        <w:rPr>
          <w:rFonts w:ascii="Times New Roman" w:hAnsi="Times New Roman" w:cs="Times New Roman"/>
          <w:lang w:val="en-US"/>
        </w:rPr>
        <w:t>the great recession on 2008-2009 (Singer, 2007).</w:t>
      </w:r>
      <w:proofErr w:type="gramEnd"/>
      <w:r w:rsidR="003764E5">
        <w:rPr>
          <w:rFonts w:ascii="Times New Roman" w:hAnsi="Times New Roman" w:cs="Times New Roman"/>
          <w:lang w:val="en-US"/>
        </w:rPr>
        <w:t xml:space="preserve"> </w:t>
      </w:r>
    </w:p>
    <w:p w14:paraId="7F5B5282" w14:textId="7B453049" w:rsidR="00025382" w:rsidRDefault="00025382" w:rsidP="00025382">
      <w:pPr>
        <w:pStyle w:val="Standard"/>
        <w:spacing w:line="360" w:lineRule="auto"/>
        <w:ind w:firstLine="709"/>
        <w:jc w:val="both"/>
        <w:rPr>
          <w:rFonts w:ascii="Times New Roman" w:hAnsi="Times New Roman" w:cs="Times New Roman"/>
          <w:lang w:val="en-US"/>
        </w:rPr>
      </w:pPr>
      <w:r w:rsidRPr="00025382">
        <w:rPr>
          <w:rFonts w:ascii="Times New Roman" w:hAnsi="Times New Roman" w:cs="Times New Roman"/>
          <w:lang w:val="en-US"/>
        </w:rPr>
        <w:t>In this context, the crisis of 2008 crossed the growing affirmation of emerging countries in the economic scenario and underscored China's role in the global economy and geopolitics. Even in the face of a significant drop in its consumer market, the country has intensified its participation in other emerging markets, for example, by ensuring financial liquidity in the Asian market and, consequently, its importance in the various arenas of international economic governance. With China's political strengthening, a new understanding of political and economic opportunities, a reassessment of external and domestic policy instruments, and the interrelationships between development strategies and globalization.</w:t>
      </w:r>
    </w:p>
    <w:p w14:paraId="2C1AD322" w14:textId="53E12528" w:rsidR="003764E5" w:rsidRPr="003764E5" w:rsidRDefault="003764E5" w:rsidP="00025382">
      <w:pPr>
        <w:pStyle w:val="Standard"/>
        <w:spacing w:line="360" w:lineRule="auto"/>
        <w:ind w:firstLine="709"/>
        <w:jc w:val="both"/>
        <w:rPr>
          <w:rFonts w:ascii="Times New Roman" w:hAnsi="Times New Roman" w:cs="Times New Roman"/>
          <w:lang w:val="en-US"/>
        </w:rPr>
      </w:pPr>
      <w:r w:rsidRPr="003764E5">
        <w:rPr>
          <w:rFonts w:ascii="Times New Roman" w:hAnsi="Times New Roman" w:cs="Times New Roman"/>
          <w:lang w:val="en-US"/>
        </w:rPr>
        <w:t>On the other hand, there is a focus on the extent of the recurring and increasing vulnerability and volatility in the system, especially after a process of financial deregulation since the 1980s. Fischer (1999), for example, points out that economic interdepen</w:t>
      </w:r>
      <w:r>
        <w:rPr>
          <w:rFonts w:ascii="Times New Roman" w:hAnsi="Times New Roman" w:cs="Times New Roman"/>
          <w:lang w:val="en-US"/>
        </w:rPr>
        <w:t>dence presupposes contagion or volatility, i.e. lack of monetary security</w:t>
      </w:r>
      <w:proofErr w:type="gramStart"/>
      <w:r>
        <w:rPr>
          <w:rFonts w:ascii="Times New Roman" w:hAnsi="Times New Roman" w:cs="Times New Roman"/>
          <w:lang w:val="en-US"/>
        </w:rPr>
        <w:t xml:space="preserve">, </w:t>
      </w:r>
      <w:r w:rsidRPr="003764E5">
        <w:rPr>
          <w:rFonts w:ascii="Times New Roman" w:hAnsi="Times New Roman" w:cs="Times New Roman"/>
          <w:lang w:val="en-US"/>
        </w:rPr>
        <w:t xml:space="preserve"> worries</w:t>
      </w:r>
      <w:proofErr w:type="gramEnd"/>
      <w:r w:rsidRPr="003764E5">
        <w:rPr>
          <w:rFonts w:ascii="Times New Roman" w:hAnsi="Times New Roman" w:cs="Times New Roman"/>
          <w:lang w:val="en-US"/>
        </w:rPr>
        <w:t xml:space="preserve"> </w:t>
      </w:r>
      <w:r>
        <w:rPr>
          <w:rFonts w:ascii="Times New Roman" w:hAnsi="Times New Roman" w:cs="Times New Roman"/>
          <w:lang w:val="en-US"/>
        </w:rPr>
        <w:t>that raise mainly among</w:t>
      </w:r>
      <w:r w:rsidRPr="003764E5">
        <w:rPr>
          <w:rFonts w:ascii="Times New Roman" w:hAnsi="Times New Roman" w:cs="Times New Roman"/>
          <w:lang w:val="en-US"/>
        </w:rPr>
        <w:t xml:space="preserve"> emerging countries, as the primary sources of credit come from already developed countries (Fischer, 1999).</w:t>
      </w:r>
    </w:p>
    <w:p w14:paraId="2A112021" w14:textId="77777777" w:rsidR="003764E5" w:rsidRDefault="00F77C53">
      <w:pPr>
        <w:pStyle w:val="Standard"/>
        <w:spacing w:line="360" w:lineRule="auto"/>
        <w:jc w:val="both"/>
        <w:rPr>
          <w:rFonts w:ascii="Times New Roman" w:hAnsi="Times New Roman" w:cs="Times New Roman"/>
          <w:lang w:val="en-US"/>
        </w:rPr>
      </w:pPr>
      <w:r w:rsidRPr="003764E5">
        <w:rPr>
          <w:rFonts w:ascii="Times New Roman" w:hAnsi="Times New Roman" w:cs="Times New Roman"/>
          <w:lang w:val="en-US"/>
        </w:rPr>
        <w:tab/>
      </w:r>
      <w:r w:rsidR="003764E5" w:rsidRPr="003764E5">
        <w:rPr>
          <w:rFonts w:ascii="Times New Roman" w:hAnsi="Times New Roman" w:cs="Times New Roman"/>
          <w:lang w:val="en-US"/>
        </w:rPr>
        <w:t xml:space="preserve">With the growing discussion of this theme, in the face of recurring crises of the 1990s, as early as 1999, the G7, the group of seven richest countries included. </w:t>
      </w:r>
      <w:proofErr w:type="gramStart"/>
      <w:r w:rsidR="003764E5" w:rsidRPr="003764E5">
        <w:rPr>
          <w:rFonts w:ascii="Times New Roman" w:hAnsi="Times New Roman" w:cs="Times New Roman"/>
          <w:lang w:val="en-US"/>
        </w:rPr>
        <w:t>(G7, 1999).</w:t>
      </w:r>
      <w:proofErr w:type="gramEnd"/>
      <w:r w:rsidR="003764E5" w:rsidRPr="003764E5">
        <w:rPr>
          <w:rFonts w:ascii="Times New Roman" w:hAnsi="Times New Roman" w:cs="Times New Roman"/>
          <w:lang w:val="en-US"/>
        </w:rPr>
        <w:t xml:space="preserve"> Back at that time, the G7's concern was to fulfill the lack of regulation and set principles as remarkable as they have ever been since. Therefore, based on this perspective: “IMF and the World Bank have the central role in the international economic and financial system, and in facilitating cooperation between countries in these fields.”</w:t>
      </w:r>
    </w:p>
    <w:p w14:paraId="3FD748D0" w14:textId="77777777" w:rsidR="003764E5" w:rsidRDefault="00F77C53">
      <w:pPr>
        <w:pStyle w:val="Standard"/>
        <w:spacing w:line="360" w:lineRule="auto"/>
        <w:jc w:val="both"/>
        <w:rPr>
          <w:rFonts w:ascii="Times New Roman" w:hAnsi="Times New Roman" w:cs="Times New Roman"/>
          <w:lang w:val="en-US"/>
        </w:rPr>
      </w:pPr>
      <w:r w:rsidRPr="00CD4840">
        <w:rPr>
          <w:rFonts w:ascii="Times New Roman" w:hAnsi="Times New Roman" w:cs="Times New Roman"/>
          <w:lang w:val="en-US"/>
        </w:rPr>
        <w:tab/>
      </w:r>
      <w:r w:rsidR="003764E5" w:rsidRPr="003764E5">
        <w:rPr>
          <w:rFonts w:ascii="Times New Roman" w:hAnsi="Times New Roman" w:cs="Times New Roman"/>
          <w:lang w:val="en-US"/>
        </w:rPr>
        <w:t xml:space="preserve">In 2019, this is still a concern, but the current G7 forum debates today include discussions such as climate change, gender and women's participation in the economy, multilateralism, regionalism, and financial stability. The discussion also gained new factors such as political and economic asymmetry, maximization of the interests of developed countries, and the absence of effective representation of the global </w:t>
      </w:r>
      <w:proofErr w:type="gramStart"/>
      <w:r w:rsidR="003764E5" w:rsidRPr="003764E5">
        <w:rPr>
          <w:rFonts w:ascii="Times New Roman" w:hAnsi="Times New Roman" w:cs="Times New Roman"/>
          <w:lang w:val="en-US"/>
        </w:rPr>
        <w:t>South</w:t>
      </w:r>
      <w:proofErr w:type="gramEnd"/>
      <w:r w:rsidR="003764E5" w:rsidRPr="003764E5">
        <w:rPr>
          <w:rFonts w:ascii="Times New Roman" w:hAnsi="Times New Roman" w:cs="Times New Roman"/>
          <w:lang w:val="en-US"/>
        </w:rPr>
        <w:t xml:space="preserve"> community. These shortcomings reinforce the fragility of the system that still suffers from the global recession, according to data from UNCTAD (2019).</w:t>
      </w:r>
    </w:p>
    <w:p w14:paraId="1977B600" w14:textId="1E5026CE" w:rsidR="003764E5" w:rsidRPr="003764E5" w:rsidRDefault="003764E5" w:rsidP="00F82118">
      <w:pPr>
        <w:pStyle w:val="Standard"/>
        <w:spacing w:line="360" w:lineRule="auto"/>
        <w:ind w:firstLine="709"/>
        <w:jc w:val="both"/>
        <w:rPr>
          <w:rFonts w:ascii="Times New Roman" w:hAnsi="Times New Roman" w:cs="Times New Roman"/>
          <w:lang w:val="en-US"/>
        </w:rPr>
      </w:pPr>
      <w:r w:rsidRPr="003764E5">
        <w:rPr>
          <w:rFonts w:ascii="Times New Roman" w:hAnsi="Times New Roman" w:cs="Times New Roman"/>
          <w:lang w:val="en-US"/>
        </w:rPr>
        <w:t xml:space="preserve">Would BRICS be a strong player offering changes to the current financial landscape? Does the NBD represent this possible reform </w:t>
      </w:r>
      <w:r>
        <w:rPr>
          <w:rFonts w:ascii="Times New Roman" w:hAnsi="Times New Roman" w:cs="Times New Roman"/>
          <w:lang w:val="en-US"/>
        </w:rPr>
        <w:t>instrument of th</w:t>
      </w:r>
      <w:r w:rsidRPr="003764E5">
        <w:rPr>
          <w:rFonts w:ascii="Times New Roman" w:hAnsi="Times New Roman" w:cs="Times New Roman"/>
          <w:lang w:val="en-US"/>
        </w:rPr>
        <w:t>e IFS?</w:t>
      </w:r>
    </w:p>
    <w:p w14:paraId="3667E3C1" w14:textId="77777777" w:rsidR="003764E5" w:rsidRDefault="003764E5" w:rsidP="00F82118">
      <w:pPr>
        <w:pStyle w:val="Standard"/>
        <w:spacing w:line="360" w:lineRule="auto"/>
        <w:ind w:firstLine="709"/>
        <w:jc w:val="both"/>
        <w:rPr>
          <w:rFonts w:ascii="Times New Roman" w:hAnsi="Times New Roman" w:cs="Times New Roman"/>
        </w:rPr>
      </w:pPr>
      <w:r w:rsidRPr="003764E5">
        <w:rPr>
          <w:rFonts w:ascii="Times New Roman" w:hAnsi="Times New Roman" w:cs="Times New Roman"/>
          <w:lang w:val="en-US"/>
        </w:rPr>
        <w:t xml:space="preserve">The tensions generated by the 2008 world crisis led to a significant drop in funding from traditional institutions such as the World Bank and the Organization for Economic Cooperation and Development (OECD), as well as other private and multilateral sources of investment. Which justifies the period of institutionalization of the NDB. Based on these gaps and difficulties that on July 15, 2015 at the 6th BRICS Summit in Fortaleza, the members of the conglomerate formalized the creation of a Bank focused on infrastructure investment and sustainable development, with the promise to cover the needs of both their own companies. </w:t>
      </w:r>
      <w:r w:rsidRPr="003764E5">
        <w:rPr>
          <w:rFonts w:ascii="Times New Roman" w:hAnsi="Times New Roman" w:cs="Times New Roman"/>
        </w:rPr>
        <w:t xml:space="preserve">BRICS as </w:t>
      </w:r>
      <w:proofErr w:type="spellStart"/>
      <w:r w:rsidRPr="003764E5">
        <w:rPr>
          <w:rFonts w:ascii="Times New Roman" w:hAnsi="Times New Roman" w:cs="Times New Roman"/>
        </w:rPr>
        <w:t>well</w:t>
      </w:r>
      <w:proofErr w:type="spellEnd"/>
      <w:r w:rsidRPr="003764E5">
        <w:rPr>
          <w:rFonts w:ascii="Times New Roman" w:hAnsi="Times New Roman" w:cs="Times New Roman"/>
        </w:rPr>
        <w:t xml:space="preserve"> as </w:t>
      </w:r>
      <w:proofErr w:type="spellStart"/>
      <w:r w:rsidRPr="003764E5">
        <w:rPr>
          <w:rFonts w:ascii="Times New Roman" w:hAnsi="Times New Roman" w:cs="Times New Roman"/>
        </w:rPr>
        <w:t>other</w:t>
      </w:r>
      <w:proofErr w:type="spellEnd"/>
      <w:r w:rsidRPr="003764E5">
        <w:rPr>
          <w:rFonts w:ascii="Times New Roman" w:hAnsi="Times New Roman" w:cs="Times New Roman"/>
        </w:rPr>
        <w:t xml:space="preserve"> </w:t>
      </w:r>
      <w:proofErr w:type="spellStart"/>
      <w:r w:rsidRPr="003764E5">
        <w:rPr>
          <w:rFonts w:ascii="Times New Roman" w:hAnsi="Times New Roman" w:cs="Times New Roman"/>
        </w:rPr>
        <w:t>emerging</w:t>
      </w:r>
      <w:proofErr w:type="spellEnd"/>
      <w:r w:rsidRPr="003764E5">
        <w:rPr>
          <w:rFonts w:ascii="Times New Roman" w:hAnsi="Times New Roman" w:cs="Times New Roman"/>
        </w:rPr>
        <w:t xml:space="preserve"> </w:t>
      </w:r>
      <w:proofErr w:type="spellStart"/>
      <w:r w:rsidRPr="003764E5">
        <w:rPr>
          <w:rFonts w:ascii="Times New Roman" w:hAnsi="Times New Roman" w:cs="Times New Roman"/>
        </w:rPr>
        <w:t>economy</w:t>
      </w:r>
      <w:proofErr w:type="spellEnd"/>
      <w:r w:rsidRPr="003764E5">
        <w:rPr>
          <w:rFonts w:ascii="Times New Roman" w:hAnsi="Times New Roman" w:cs="Times New Roman"/>
        </w:rPr>
        <w:t xml:space="preserve"> countries.</w:t>
      </w:r>
    </w:p>
    <w:p w14:paraId="389C1321" w14:textId="01D6E70A" w:rsidR="003764E5" w:rsidRPr="003764E5" w:rsidRDefault="003764E5" w:rsidP="003764E5">
      <w:pPr>
        <w:pStyle w:val="Standard"/>
        <w:spacing w:line="360" w:lineRule="auto"/>
        <w:ind w:firstLine="709"/>
        <w:jc w:val="both"/>
        <w:rPr>
          <w:rFonts w:ascii="Times New Roman" w:hAnsi="Times New Roman" w:cs="Times New Roman"/>
          <w:lang w:val="en-US"/>
        </w:rPr>
      </w:pPr>
      <w:r w:rsidRPr="003764E5">
        <w:rPr>
          <w:rFonts w:ascii="Times New Roman" w:hAnsi="Times New Roman" w:cs="Times New Roman"/>
          <w:lang w:val="en-US"/>
        </w:rPr>
        <w:t>UNCTAD (2019) included a significant role for Southern multilateral initiatives (such as the NDB), forming an alternative investment in sustainable infrastructure for emerging countries. In addition to being an action of economic cooperation and tuning between them, the NDB has come to be presented as an institution complementary to the efforts of other multilateral institutions and regional financial institutions.</w:t>
      </w:r>
      <w:r w:rsidR="00BE1CC5">
        <w:rPr>
          <w:rFonts w:ascii="Times New Roman" w:hAnsi="Times New Roman" w:cs="Times New Roman"/>
          <w:lang w:val="en-US"/>
        </w:rPr>
        <w:t xml:space="preserve"> </w:t>
      </w:r>
      <w:r w:rsidR="00BE1CC5" w:rsidRPr="00BE1CC5">
        <w:rPr>
          <w:rFonts w:ascii="Times New Roman" w:hAnsi="Times New Roman" w:cs="Times New Roman"/>
          <w:lang w:val="en-US"/>
        </w:rPr>
        <w:t>Along this line of thinking, the NDB has been institutionalized as an alternative financial solution for low-income countries, a way to foster the infrastructure investment market and make room for the BRICS member countries in the international financial l</w:t>
      </w:r>
      <w:r w:rsidR="00BE1CC5">
        <w:rPr>
          <w:rFonts w:ascii="Times New Roman" w:hAnsi="Times New Roman" w:cs="Times New Roman"/>
          <w:lang w:val="en-US"/>
        </w:rPr>
        <w:t>andscape, being a capable actor</w:t>
      </w:r>
      <w:r w:rsidR="00BE1CC5" w:rsidRPr="00BE1CC5">
        <w:rPr>
          <w:rFonts w:ascii="Times New Roman" w:hAnsi="Times New Roman" w:cs="Times New Roman"/>
          <w:lang w:val="en-US"/>
        </w:rPr>
        <w:t xml:space="preserve"> to influence in the other global spheres. </w:t>
      </w:r>
      <w:r w:rsidR="00BE1CC5" w:rsidRPr="00BE1CC5">
        <w:rPr>
          <w:rFonts w:ascii="Times New Roman" w:hAnsi="Times New Roman" w:cs="Times New Roman"/>
        </w:rPr>
        <w:t>(UNCTAD, 2019).</w:t>
      </w:r>
    </w:p>
    <w:p w14:paraId="6ADF08A6" w14:textId="77777777" w:rsidR="003764E5" w:rsidRPr="003764E5" w:rsidRDefault="003764E5" w:rsidP="003764E5">
      <w:pPr>
        <w:pStyle w:val="Standard"/>
        <w:spacing w:line="360" w:lineRule="auto"/>
        <w:ind w:firstLine="709"/>
        <w:jc w:val="both"/>
        <w:rPr>
          <w:rFonts w:ascii="Times New Roman" w:hAnsi="Times New Roman" w:cs="Times New Roman"/>
          <w:lang w:val="en-US"/>
        </w:rPr>
      </w:pPr>
      <w:r w:rsidRPr="003764E5">
        <w:rPr>
          <w:rFonts w:ascii="Times New Roman" w:hAnsi="Times New Roman" w:cs="Times New Roman"/>
          <w:lang w:val="en-US"/>
        </w:rPr>
        <w:t>The Agreement on the New Development Bank (ANDB, 2015) underpins its institutionalization, outlines its purposes, functions, competencies, organization, headquarters, form of management, voting system, acceptance of new members and bank operations. Supporting public and private sector projects through loans, guarantees, equitable participation, and other financial instruments is the key role of the NDB. It should also cooperate with other international agencies to promote technical assistance in projects supported by the Bank.</w:t>
      </w:r>
    </w:p>
    <w:p w14:paraId="5A7B3FFA" w14:textId="77777777" w:rsidR="008402EF" w:rsidRDefault="00301780" w:rsidP="00410542">
      <w:pPr>
        <w:pStyle w:val="Standard"/>
        <w:spacing w:line="360" w:lineRule="auto"/>
        <w:ind w:firstLine="709"/>
        <w:jc w:val="both"/>
        <w:rPr>
          <w:rFonts w:ascii="Times New Roman" w:hAnsi="Times New Roman" w:cs="Times New Roman"/>
          <w:lang w:val="en-US"/>
        </w:rPr>
      </w:pPr>
      <w:r>
        <w:rPr>
          <w:rFonts w:ascii="Times New Roman" w:hAnsi="Times New Roman" w:cs="Times New Roman"/>
          <w:lang w:val="en-US"/>
        </w:rPr>
        <w:t>T</w:t>
      </w:r>
      <w:r w:rsidR="007B6390" w:rsidRPr="00301780">
        <w:rPr>
          <w:rFonts w:ascii="Times New Roman" w:hAnsi="Times New Roman" w:cs="Times New Roman"/>
          <w:lang w:val="en-US"/>
        </w:rPr>
        <w:t xml:space="preserve">he </w:t>
      </w:r>
      <w:r w:rsidR="005962D7" w:rsidRPr="00301780">
        <w:rPr>
          <w:rFonts w:ascii="Times New Roman" w:hAnsi="Times New Roman" w:cs="Times New Roman"/>
          <w:lang w:val="en-US"/>
        </w:rPr>
        <w:t xml:space="preserve">Bank’s operation is based on </w:t>
      </w:r>
      <w:r w:rsidR="00350DA2" w:rsidRPr="00301780">
        <w:rPr>
          <w:rFonts w:ascii="Times New Roman" w:hAnsi="Times New Roman" w:cs="Times New Roman"/>
          <w:lang w:val="en-US"/>
        </w:rPr>
        <w:t>macro-trends</w:t>
      </w:r>
      <w:r w:rsidR="000E7303" w:rsidRPr="00301780">
        <w:rPr>
          <w:rFonts w:ascii="Times New Roman" w:hAnsi="Times New Roman" w:cs="Times New Roman"/>
          <w:lang w:val="en-US"/>
        </w:rPr>
        <w:t xml:space="preserve"> like </w:t>
      </w:r>
      <w:r w:rsidR="00F86F99" w:rsidRPr="00301780">
        <w:rPr>
          <w:rFonts w:ascii="Times New Roman" w:hAnsi="Times New Roman" w:cs="Times New Roman"/>
          <w:lang w:val="en-US"/>
        </w:rPr>
        <w:t>th</w:t>
      </w:r>
      <w:r w:rsidR="00F86F99" w:rsidRPr="008D0C22">
        <w:rPr>
          <w:rFonts w:ascii="Times New Roman" w:hAnsi="Times New Roman" w:cs="Times New Roman"/>
          <w:lang w:val="en-US"/>
        </w:rPr>
        <w:t>e n</w:t>
      </w:r>
      <w:r w:rsidR="00F86F99" w:rsidRPr="00301780">
        <w:rPr>
          <w:rFonts w:ascii="Times New Roman" w:hAnsi="Times New Roman" w:cs="Times New Roman"/>
          <w:lang w:val="en-US"/>
        </w:rPr>
        <w:t>e</w:t>
      </w:r>
      <w:r w:rsidR="00F86F99">
        <w:rPr>
          <w:rFonts w:ascii="Times New Roman" w:hAnsi="Times New Roman" w:cs="Times New Roman"/>
          <w:lang w:val="en-US"/>
        </w:rPr>
        <w:t>ed for a sustainable develop</w:t>
      </w:r>
      <w:r>
        <w:rPr>
          <w:rFonts w:ascii="Times New Roman" w:hAnsi="Times New Roman" w:cs="Times New Roman"/>
          <w:lang w:val="en-US"/>
        </w:rPr>
        <w:t>ment</w:t>
      </w:r>
      <w:r w:rsidR="00402B21">
        <w:rPr>
          <w:rFonts w:ascii="Times New Roman" w:hAnsi="Times New Roman" w:cs="Times New Roman"/>
          <w:lang w:val="en-US"/>
        </w:rPr>
        <w:t xml:space="preserve"> building livable </w:t>
      </w:r>
      <w:proofErr w:type="gramStart"/>
      <w:r w:rsidR="00402B21">
        <w:rPr>
          <w:rFonts w:ascii="Times New Roman" w:hAnsi="Times New Roman" w:cs="Times New Roman"/>
          <w:lang w:val="en-US"/>
        </w:rPr>
        <w:t>cities</w:t>
      </w:r>
      <w:r w:rsidR="0015460B">
        <w:rPr>
          <w:rFonts w:ascii="Times New Roman" w:hAnsi="Times New Roman" w:cs="Times New Roman"/>
          <w:lang w:val="en-US"/>
        </w:rPr>
        <w:t>,</w:t>
      </w:r>
      <w:proofErr w:type="gramEnd"/>
      <w:r w:rsidR="0015460B">
        <w:rPr>
          <w:rFonts w:ascii="Times New Roman" w:hAnsi="Times New Roman" w:cs="Times New Roman"/>
          <w:lang w:val="en-US"/>
        </w:rPr>
        <w:t xml:space="preserve"> therefor</w:t>
      </w:r>
      <w:r w:rsidR="009902D1">
        <w:rPr>
          <w:rFonts w:ascii="Times New Roman" w:hAnsi="Times New Roman" w:cs="Times New Roman"/>
          <w:lang w:val="en-US"/>
        </w:rPr>
        <w:t>e</w:t>
      </w:r>
      <w:r w:rsidR="0015460B">
        <w:rPr>
          <w:rFonts w:ascii="Times New Roman" w:hAnsi="Times New Roman" w:cs="Times New Roman"/>
          <w:lang w:val="en-US"/>
        </w:rPr>
        <w:t xml:space="preserve">, </w:t>
      </w:r>
      <w:r w:rsidR="00C0062F">
        <w:rPr>
          <w:rFonts w:ascii="Times New Roman" w:hAnsi="Times New Roman" w:cs="Times New Roman"/>
          <w:lang w:val="en-US"/>
        </w:rPr>
        <w:t>economic growth</w:t>
      </w:r>
      <w:r w:rsidR="00AC214C">
        <w:rPr>
          <w:rFonts w:ascii="Times New Roman" w:hAnsi="Times New Roman" w:cs="Times New Roman"/>
          <w:lang w:val="en-US"/>
        </w:rPr>
        <w:t xml:space="preserve"> </w:t>
      </w:r>
      <w:r w:rsidR="00BE6B49">
        <w:rPr>
          <w:rFonts w:ascii="Times New Roman" w:hAnsi="Times New Roman" w:cs="Times New Roman"/>
          <w:lang w:val="en-US"/>
        </w:rPr>
        <w:t xml:space="preserve">shall be </w:t>
      </w:r>
      <w:r w:rsidR="004C1FE2">
        <w:rPr>
          <w:rFonts w:ascii="Times New Roman" w:hAnsi="Times New Roman" w:cs="Times New Roman"/>
          <w:lang w:val="en-US"/>
        </w:rPr>
        <w:t xml:space="preserve">driven by </w:t>
      </w:r>
      <w:r w:rsidR="00986577">
        <w:rPr>
          <w:rFonts w:ascii="Times New Roman" w:hAnsi="Times New Roman" w:cs="Times New Roman"/>
          <w:lang w:val="en-US"/>
        </w:rPr>
        <w:t xml:space="preserve">environmental protection </w:t>
      </w:r>
      <w:r w:rsidR="00BC0F0C">
        <w:rPr>
          <w:rFonts w:ascii="Times New Roman" w:hAnsi="Times New Roman" w:cs="Times New Roman"/>
          <w:lang w:val="en-US"/>
        </w:rPr>
        <w:t>solutions</w:t>
      </w:r>
      <w:r>
        <w:rPr>
          <w:rFonts w:ascii="Times New Roman" w:hAnsi="Times New Roman" w:cs="Times New Roman"/>
          <w:lang w:val="en-US"/>
        </w:rPr>
        <w:t xml:space="preserve"> (NDB, 2017). </w:t>
      </w:r>
      <w:r w:rsidR="008402EF" w:rsidRPr="008402EF">
        <w:rPr>
          <w:rFonts w:ascii="Times New Roman" w:hAnsi="Times New Roman" w:cs="Times New Roman"/>
          <w:lang w:val="en-US"/>
        </w:rPr>
        <w:t xml:space="preserve">From a technical point of view of operations, the NDB proposes demand-driven projects and the possibility of local currency transactions, minimizing currency costs. </w:t>
      </w:r>
    </w:p>
    <w:p w14:paraId="3B1890B4" w14:textId="25E55335" w:rsidR="008402EF" w:rsidRDefault="008402EF" w:rsidP="00410542">
      <w:pPr>
        <w:pStyle w:val="Standard"/>
        <w:spacing w:line="360" w:lineRule="auto"/>
        <w:ind w:firstLine="709"/>
        <w:jc w:val="both"/>
        <w:rPr>
          <w:rFonts w:ascii="Times New Roman" w:hAnsi="Times New Roman" w:cs="Times New Roman"/>
          <w:lang w:val="en-US"/>
        </w:rPr>
      </w:pPr>
      <w:r w:rsidRPr="008402EF">
        <w:rPr>
          <w:rFonts w:ascii="Times New Roman" w:hAnsi="Times New Roman" w:cs="Times New Roman"/>
          <w:lang w:val="en-US"/>
        </w:rPr>
        <w:t>Another interesting aspect we can find on the Article of Agreement (AOA, 2015), e</w:t>
      </w:r>
      <w:r>
        <w:rPr>
          <w:rFonts w:ascii="Times New Roman" w:hAnsi="Times New Roman" w:cs="Times New Roman"/>
          <w:lang w:val="en-US"/>
        </w:rPr>
        <w:t>ach member country subscribed US$</w:t>
      </w:r>
      <w:r w:rsidRPr="008402EF">
        <w:rPr>
          <w:rFonts w:ascii="Times New Roman" w:hAnsi="Times New Roman" w:cs="Times New Roman"/>
          <w:lang w:val="en-US"/>
        </w:rPr>
        <w:t xml:space="preserve">10 billion (80 per cent callable and another 20 per cent to be paid in seven installments), </w:t>
      </w:r>
      <w:r>
        <w:rPr>
          <w:rFonts w:ascii="Times New Roman" w:hAnsi="Times New Roman" w:cs="Times New Roman"/>
          <w:lang w:val="en-US"/>
        </w:rPr>
        <w:t>ensuring t</w:t>
      </w:r>
      <w:r w:rsidRPr="008402EF">
        <w:rPr>
          <w:rFonts w:ascii="Times New Roman" w:hAnsi="Times New Roman" w:cs="Times New Roman"/>
          <w:lang w:val="en-US"/>
        </w:rPr>
        <w:t xml:space="preserve">hat all members </w:t>
      </w:r>
      <w:r>
        <w:rPr>
          <w:rFonts w:ascii="Times New Roman" w:hAnsi="Times New Roman" w:cs="Times New Roman"/>
          <w:lang w:val="en-US"/>
        </w:rPr>
        <w:t xml:space="preserve">may </w:t>
      </w:r>
      <w:r w:rsidRPr="008402EF">
        <w:rPr>
          <w:rFonts w:ascii="Times New Roman" w:hAnsi="Times New Roman" w:cs="Times New Roman"/>
          <w:lang w:val="en-US"/>
        </w:rPr>
        <w:t>have 20 percent of the voting power, an equally way to distribute power between them. Despite this, the AOA stipulates that all matters before the Bank shall be decided by a simple majority of the cast votes, and there is a qualified majority understood as an affirmative vote of two thirds of the total voting power of the BRICS. There is also a special majority understood as an affirmative vote of four of the founding members concurrent with an affirmative vote of two thirds of the total voting power (WANG, 2019).</w:t>
      </w:r>
    </w:p>
    <w:p w14:paraId="2D7381B2" w14:textId="77777777" w:rsidR="008402EF" w:rsidRDefault="008402EF" w:rsidP="008402EF">
      <w:pPr>
        <w:pStyle w:val="Standard"/>
        <w:spacing w:line="360" w:lineRule="auto"/>
        <w:ind w:firstLine="360"/>
        <w:jc w:val="both"/>
        <w:rPr>
          <w:rFonts w:ascii="Times New Roman" w:hAnsi="Times New Roman" w:cs="Times New Roman"/>
          <w:lang w:val="en-US"/>
        </w:rPr>
      </w:pPr>
      <w:r w:rsidRPr="008402EF">
        <w:rPr>
          <w:rFonts w:ascii="Times New Roman" w:hAnsi="Times New Roman" w:cs="Times New Roman"/>
          <w:lang w:val="en-US"/>
        </w:rPr>
        <w:t>Therefore, the Bank's strategy is a response to the existing gaps in investment for sustainable development, seeking to distance itself from World Bank (WBG) governance strategies from three critical vectors (</w:t>
      </w:r>
      <w:proofErr w:type="spellStart"/>
      <w:r w:rsidRPr="008402EF">
        <w:rPr>
          <w:rFonts w:ascii="Times New Roman" w:hAnsi="Times New Roman" w:cs="Times New Roman"/>
          <w:lang w:val="en-US"/>
        </w:rPr>
        <w:t>Acioly</w:t>
      </w:r>
      <w:proofErr w:type="spellEnd"/>
      <w:r w:rsidRPr="008402EF">
        <w:rPr>
          <w:rFonts w:ascii="Times New Roman" w:hAnsi="Times New Roman" w:cs="Times New Roman"/>
          <w:lang w:val="en-US"/>
        </w:rPr>
        <w:t>, 2019):</w:t>
      </w:r>
    </w:p>
    <w:p w14:paraId="1DC46C20" w14:textId="77777777" w:rsidR="008402EF" w:rsidRPr="008402EF" w:rsidRDefault="008402EF" w:rsidP="008402EF">
      <w:pPr>
        <w:pStyle w:val="Standard"/>
        <w:spacing w:line="360" w:lineRule="auto"/>
        <w:ind w:firstLine="709"/>
        <w:jc w:val="both"/>
        <w:rPr>
          <w:rFonts w:ascii="Times New Roman" w:hAnsi="Times New Roman" w:cs="Times New Roman"/>
          <w:lang w:val="en-US"/>
        </w:rPr>
      </w:pPr>
      <w:r w:rsidRPr="008402EF">
        <w:rPr>
          <w:rFonts w:ascii="Times New Roman" w:hAnsi="Times New Roman" w:cs="Times New Roman"/>
          <w:lang w:val="en-US"/>
        </w:rPr>
        <w:t>1) Governance structure and voting power;</w:t>
      </w:r>
    </w:p>
    <w:p w14:paraId="1374C25F" w14:textId="77777777" w:rsidR="008402EF" w:rsidRPr="008402EF" w:rsidRDefault="008402EF" w:rsidP="008402EF">
      <w:pPr>
        <w:pStyle w:val="Standard"/>
        <w:spacing w:line="360" w:lineRule="auto"/>
        <w:ind w:firstLine="709"/>
        <w:jc w:val="both"/>
        <w:rPr>
          <w:rFonts w:ascii="Times New Roman" w:hAnsi="Times New Roman" w:cs="Times New Roman"/>
          <w:lang w:val="en-US"/>
        </w:rPr>
      </w:pPr>
      <w:r w:rsidRPr="008402EF">
        <w:rPr>
          <w:rFonts w:ascii="Times New Roman" w:hAnsi="Times New Roman" w:cs="Times New Roman"/>
          <w:lang w:val="en-US"/>
        </w:rPr>
        <w:t xml:space="preserve">2) Existence of loan </w:t>
      </w:r>
      <w:proofErr w:type="spellStart"/>
      <w:r w:rsidRPr="008402EF">
        <w:rPr>
          <w:rFonts w:ascii="Times New Roman" w:hAnsi="Times New Roman" w:cs="Times New Roman"/>
          <w:lang w:val="en-US"/>
        </w:rPr>
        <w:t>conditionalities</w:t>
      </w:r>
      <w:proofErr w:type="spellEnd"/>
      <w:r w:rsidRPr="008402EF">
        <w:rPr>
          <w:rFonts w:ascii="Times New Roman" w:hAnsi="Times New Roman" w:cs="Times New Roman"/>
          <w:lang w:val="en-US"/>
        </w:rPr>
        <w:t>, including structural adjustment mechanisms for developing countries;</w:t>
      </w:r>
    </w:p>
    <w:p w14:paraId="2DB1C5AF" w14:textId="77777777" w:rsidR="008402EF" w:rsidRDefault="008402EF" w:rsidP="008402EF">
      <w:pPr>
        <w:pStyle w:val="Standard"/>
        <w:spacing w:line="360" w:lineRule="auto"/>
        <w:ind w:firstLine="709"/>
        <w:jc w:val="both"/>
        <w:rPr>
          <w:rFonts w:ascii="Times New Roman" w:hAnsi="Times New Roman" w:cs="Times New Roman"/>
        </w:rPr>
      </w:pPr>
      <w:r w:rsidRPr="008402EF">
        <w:rPr>
          <w:rFonts w:ascii="Times New Roman" w:hAnsi="Times New Roman" w:cs="Times New Roman"/>
        </w:rPr>
        <w:t xml:space="preserve">3) </w:t>
      </w:r>
      <w:proofErr w:type="spellStart"/>
      <w:r w:rsidRPr="008402EF">
        <w:rPr>
          <w:rFonts w:ascii="Times New Roman" w:hAnsi="Times New Roman" w:cs="Times New Roman"/>
        </w:rPr>
        <w:t>Existence</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of</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an</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asymmetric</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governance</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structure</w:t>
      </w:r>
      <w:proofErr w:type="spellEnd"/>
      <w:r w:rsidRPr="008402EF">
        <w:rPr>
          <w:rFonts w:ascii="Times New Roman" w:hAnsi="Times New Roman" w:cs="Times New Roman"/>
        </w:rPr>
        <w:t xml:space="preserve"> in </w:t>
      </w:r>
      <w:proofErr w:type="spellStart"/>
      <w:r w:rsidRPr="008402EF">
        <w:rPr>
          <w:rFonts w:ascii="Times New Roman" w:hAnsi="Times New Roman" w:cs="Times New Roman"/>
        </w:rPr>
        <w:t>domestic</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decision</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making</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and</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excessive</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centralization</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of</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power</w:t>
      </w:r>
      <w:proofErr w:type="spellEnd"/>
      <w:r w:rsidRPr="008402EF">
        <w:rPr>
          <w:rFonts w:ascii="Times New Roman" w:hAnsi="Times New Roman" w:cs="Times New Roman"/>
        </w:rPr>
        <w:t xml:space="preserve"> in </w:t>
      </w:r>
      <w:proofErr w:type="spellStart"/>
      <w:r w:rsidRPr="008402EF">
        <w:rPr>
          <w:rFonts w:ascii="Times New Roman" w:hAnsi="Times New Roman" w:cs="Times New Roman"/>
        </w:rPr>
        <w:t>the</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hands</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of</w:t>
      </w:r>
      <w:proofErr w:type="spellEnd"/>
      <w:r w:rsidRPr="008402EF">
        <w:rPr>
          <w:rFonts w:ascii="Times New Roman" w:hAnsi="Times New Roman" w:cs="Times New Roman"/>
        </w:rPr>
        <w:t xml:space="preserve"> </w:t>
      </w:r>
      <w:proofErr w:type="spellStart"/>
      <w:r w:rsidRPr="008402EF">
        <w:rPr>
          <w:rFonts w:ascii="Times New Roman" w:hAnsi="Times New Roman" w:cs="Times New Roman"/>
        </w:rPr>
        <w:t>few</w:t>
      </w:r>
      <w:proofErr w:type="spellEnd"/>
      <w:r w:rsidRPr="008402EF">
        <w:rPr>
          <w:rFonts w:ascii="Times New Roman" w:hAnsi="Times New Roman" w:cs="Times New Roman"/>
        </w:rPr>
        <w:t xml:space="preserve"> countries.</w:t>
      </w:r>
    </w:p>
    <w:p w14:paraId="7D44137D" w14:textId="77777777" w:rsidR="008402EF" w:rsidRPr="008402EF" w:rsidRDefault="008402EF">
      <w:pPr>
        <w:pStyle w:val="Standard"/>
        <w:spacing w:line="360" w:lineRule="auto"/>
        <w:ind w:firstLine="709"/>
        <w:jc w:val="both"/>
        <w:rPr>
          <w:rFonts w:ascii="Times New Roman" w:hAnsi="Times New Roman" w:cs="Times New Roman"/>
          <w:lang w:val="en-US"/>
        </w:rPr>
      </w:pPr>
      <w:r w:rsidRPr="008402EF">
        <w:rPr>
          <w:rFonts w:ascii="Times New Roman" w:hAnsi="Times New Roman" w:cs="Times New Roman"/>
          <w:lang w:val="en-US"/>
        </w:rPr>
        <w:t>Despite the complementary nature of international financial investment, the NDB sought to bring new features to the global financial landscape. In a study by the BRICS Policy Center (</w:t>
      </w:r>
      <w:proofErr w:type="spellStart"/>
      <w:r w:rsidRPr="008402EF">
        <w:rPr>
          <w:rFonts w:ascii="Times New Roman" w:hAnsi="Times New Roman" w:cs="Times New Roman"/>
          <w:lang w:val="en-US"/>
        </w:rPr>
        <w:t>Esteves</w:t>
      </w:r>
      <w:proofErr w:type="spellEnd"/>
      <w:r w:rsidRPr="008402EF">
        <w:rPr>
          <w:rFonts w:ascii="Times New Roman" w:hAnsi="Times New Roman" w:cs="Times New Roman"/>
          <w:lang w:val="en-US"/>
        </w:rPr>
        <w:t xml:space="preserve">, 2016), it lists some news pertinent to the loan made by multilateral institutions. The first particularity is the absence of </w:t>
      </w:r>
      <w:proofErr w:type="spellStart"/>
      <w:r w:rsidRPr="008402EF">
        <w:rPr>
          <w:rFonts w:ascii="Times New Roman" w:hAnsi="Times New Roman" w:cs="Times New Roman"/>
          <w:lang w:val="en-US"/>
        </w:rPr>
        <w:t>conditionalities</w:t>
      </w:r>
      <w:proofErr w:type="spellEnd"/>
      <w:r w:rsidRPr="008402EF">
        <w:rPr>
          <w:rFonts w:ascii="Times New Roman" w:hAnsi="Times New Roman" w:cs="Times New Roman"/>
          <w:lang w:val="en-US"/>
        </w:rPr>
        <w:t xml:space="preserve">, which is the basis of the contracts signed with WBG. The second particularity is the shortening of credit operations approval </w:t>
      </w:r>
      <w:proofErr w:type="gramStart"/>
      <w:r w:rsidRPr="008402EF">
        <w:rPr>
          <w:rFonts w:ascii="Times New Roman" w:hAnsi="Times New Roman" w:cs="Times New Roman"/>
          <w:lang w:val="en-US"/>
        </w:rPr>
        <w:t>time,</w:t>
      </w:r>
      <w:proofErr w:type="gramEnd"/>
      <w:r w:rsidRPr="008402EF">
        <w:rPr>
          <w:rFonts w:ascii="Times New Roman" w:hAnsi="Times New Roman" w:cs="Times New Roman"/>
          <w:lang w:val="en-US"/>
        </w:rPr>
        <w:t xml:space="preserve"> the search for agility is a response to the preciousness of the operations of traditional agencies that managed to reduce the waiting time by up to 6 months. </w:t>
      </w:r>
      <w:proofErr w:type="spellStart"/>
      <w:r w:rsidRPr="008402EF">
        <w:rPr>
          <w:rFonts w:ascii="Times New Roman" w:hAnsi="Times New Roman" w:cs="Times New Roman"/>
          <w:lang w:val="en-US"/>
        </w:rPr>
        <w:t>Esteves</w:t>
      </w:r>
      <w:proofErr w:type="spellEnd"/>
      <w:r w:rsidRPr="008402EF">
        <w:rPr>
          <w:rFonts w:ascii="Times New Roman" w:hAnsi="Times New Roman" w:cs="Times New Roman"/>
          <w:lang w:val="en-US"/>
        </w:rPr>
        <w:t xml:space="preserve"> (2016) further adds that the NDB is an alternative and a response to funding bottlenecks for middle-income countries.</w:t>
      </w:r>
    </w:p>
    <w:p w14:paraId="708D081B" w14:textId="37AC8D09" w:rsidR="00FF4C25" w:rsidRDefault="004E322F">
      <w:pPr>
        <w:pStyle w:val="Standard"/>
        <w:spacing w:line="360" w:lineRule="auto"/>
        <w:ind w:firstLine="709"/>
        <w:jc w:val="both"/>
        <w:rPr>
          <w:rFonts w:ascii="Times New Roman" w:hAnsi="Times New Roman" w:cs="Times New Roman"/>
        </w:rPr>
      </w:pPr>
      <w:r>
        <w:rPr>
          <w:rFonts w:ascii="Times New Roman" w:hAnsi="Times New Roman" w:cs="Times New Roman"/>
        </w:rPr>
        <w:t>Podemos citar também além da ausência de condicionalidades, agilidade e</w:t>
      </w:r>
      <w:r w:rsidR="00754BC5">
        <w:rPr>
          <w:rFonts w:ascii="Times New Roman" w:hAnsi="Times New Roman" w:cs="Times New Roman"/>
        </w:rPr>
        <w:t xml:space="preserve"> de ser</w:t>
      </w:r>
      <w:r w:rsidR="008A03D6">
        <w:rPr>
          <w:rFonts w:ascii="Times New Roman" w:hAnsi="Times New Roman" w:cs="Times New Roman"/>
        </w:rPr>
        <w:t>em</w:t>
      </w:r>
      <w:r w:rsidR="00754BC5">
        <w:rPr>
          <w:rFonts w:ascii="Times New Roman" w:hAnsi="Times New Roman" w:cs="Times New Roman"/>
        </w:rPr>
        <w:t xml:space="preserve"> uma alternativa aos países emergentes</w:t>
      </w:r>
      <w:r w:rsidR="000805EA">
        <w:rPr>
          <w:rFonts w:ascii="Times New Roman" w:hAnsi="Times New Roman" w:cs="Times New Roman"/>
        </w:rPr>
        <w:t>:</w:t>
      </w:r>
      <w:r w:rsidR="008A03D6">
        <w:rPr>
          <w:rFonts w:ascii="Times New Roman" w:hAnsi="Times New Roman" w:cs="Times New Roman"/>
        </w:rPr>
        <w:t xml:space="preserve"> Outros aspectos interessantes </w:t>
      </w:r>
      <w:r w:rsidR="00C534B1">
        <w:rPr>
          <w:rFonts w:ascii="Times New Roman" w:hAnsi="Times New Roman" w:cs="Times New Roman"/>
        </w:rPr>
        <w:t xml:space="preserve">encontrados no AOA </w:t>
      </w:r>
      <w:r w:rsidR="00FF4C25">
        <w:rPr>
          <w:rFonts w:ascii="Times New Roman" w:hAnsi="Times New Roman" w:cs="Times New Roman"/>
        </w:rPr>
        <w:t>e no documento que publica a estratégia do NDB:</w:t>
      </w:r>
    </w:p>
    <w:p w14:paraId="0249FCD7" w14:textId="77777777" w:rsidR="003D4EBD" w:rsidRPr="003D4EBD" w:rsidRDefault="003D4EBD" w:rsidP="003D4EBD">
      <w:pPr>
        <w:pStyle w:val="Standard"/>
        <w:spacing w:line="360" w:lineRule="auto"/>
        <w:ind w:firstLine="709"/>
        <w:jc w:val="both"/>
        <w:rPr>
          <w:rFonts w:ascii="Times New Roman" w:hAnsi="Times New Roman" w:cs="Times New Roman"/>
          <w:lang w:val="en-US"/>
        </w:rPr>
      </w:pPr>
      <w:r w:rsidRPr="003D4EBD">
        <w:rPr>
          <w:rFonts w:ascii="Times New Roman" w:hAnsi="Times New Roman" w:cs="Times New Roman"/>
          <w:lang w:val="en-US"/>
        </w:rPr>
        <w:t>1) Operations and investments in local currency of the member country or countries concerned are accepted.</w:t>
      </w:r>
    </w:p>
    <w:p w14:paraId="142BC44C" w14:textId="77777777" w:rsidR="003D4EBD" w:rsidRDefault="003D4EBD" w:rsidP="003D4EBD">
      <w:pPr>
        <w:pStyle w:val="Standard"/>
        <w:spacing w:line="360" w:lineRule="auto"/>
        <w:ind w:firstLine="709"/>
        <w:jc w:val="both"/>
        <w:rPr>
          <w:rFonts w:ascii="Times New Roman" w:hAnsi="Times New Roman" w:cs="Times New Roman"/>
        </w:rPr>
      </w:pPr>
      <w:r w:rsidRPr="003D4EBD">
        <w:rPr>
          <w:rFonts w:ascii="Times New Roman" w:hAnsi="Times New Roman" w:cs="Times New Roman"/>
        </w:rPr>
        <w:t xml:space="preserve">2) The NDB </w:t>
      </w:r>
      <w:proofErr w:type="spellStart"/>
      <w:r w:rsidRPr="003D4EBD">
        <w:rPr>
          <w:rFonts w:ascii="Times New Roman" w:hAnsi="Times New Roman" w:cs="Times New Roman"/>
        </w:rPr>
        <w:t>is</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the</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first</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international</w:t>
      </w:r>
      <w:proofErr w:type="spellEnd"/>
      <w:r w:rsidRPr="003D4EBD">
        <w:rPr>
          <w:rFonts w:ascii="Times New Roman" w:hAnsi="Times New Roman" w:cs="Times New Roman"/>
        </w:rPr>
        <w:t xml:space="preserve"> financial </w:t>
      </w:r>
      <w:proofErr w:type="spellStart"/>
      <w:r w:rsidRPr="003D4EBD">
        <w:rPr>
          <w:rFonts w:ascii="Times New Roman" w:hAnsi="Times New Roman" w:cs="Times New Roman"/>
        </w:rPr>
        <w:t>institution</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to</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issue</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green</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bonds</w:t>
      </w:r>
      <w:proofErr w:type="spellEnd"/>
      <w:r w:rsidRPr="003D4EBD">
        <w:rPr>
          <w:rFonts w:ascii="Times New Roman" w:hAnsi="Times New Roman" w:cs="Times New Roman"/>
        </w:rPr>
        <w:t xml:space="preserve"> - </w:t>
      </w:r>
      <w:proofErr w:type="spellStart"/>
      <w:r w:rsidRPr="003D4EBD">
        <w:rPr>
          <w:rFonts w:ascii="Times New Roman" w:hAnsi="Times New Roman" w:cs="Times New Roman"/>
        </w:rPr>
        <w:t>the</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first</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ones</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were</w:t>
      </w:r>
      <w:proofErr w:type="spellEnd"/>
      <w:r w:rsidRPr="003D4EBD">
        <w:rPr>
          <w:rFonts w:ascii="Times New Roman" w:hAnsi="Times New Roman" w:cs="Times New Roman"/>
        </w:rPr>
        <w:t xml:space="preserve"> </w:t>
      </w:r>
      <w:proofErr w:type="spellStart"/>
      <w:r w:rsidRPr="003D4EBD">
        <w:rPr>
          <w:rFonts w:ascii="Times New Roman" w:hAnsi="Times New Roman" w:cs="Times New Roman"/>
        </w:rPr>
        <w:t>issued</w:t>
      </w:r>
      <w:proofErr w:type="spellEnd"/>
      <w:r w:rsidRPr="003D4EBD">
        <w:rPr>
          <w:rFonts w:ascii="Times New Roman" w:hAnsi="Times New Roman" w:cs="Times New Roman"/>
        </w:rPr>
        <w:t xml:space="preserve"> in </w:t>
      </w:r>
      <w:proofErr w:type="spellStart"/>
      <w:r w:rsidRPr="003D4EBD">
        <w:rPr>
          <w:rFonts w:ascii="Times New Roman" w:hAnsi="Times New Roman" w:cs="Times New Roman"/>
        </w:rPr>
        <w:t>Chinese</w:t>
      </w:r>
      <w:proofErr w:type="spellEnd"/>
      <w:r w:rsidRPr="003D4EBD">
        <w:rPr>
          <w:rFonts w:ascii="Times New Roman" w:hAnsi="Times New Roman" w:cs="Times New Roman"/>
        </w:rPr>
        <w:t xml:space="preserve"> local </w:t>
      </w:r>
      <w:proofErr w:type="spellStart"/>
      <w:r w:rsidRPr="003D4EBD">
        <w:rPr>
          <w:rFonts w:ascii="Times New Roman" w:hAnsi="Times New Roman" w:cs="Times New Roman"/>
        </w:rPr>
        <w:t>currency</w:t>
      </w:r>
      <w:proofErr w:type="spellEnd"/>
      <w:r w:rsidRPr="003D4EBD">
        <w:rPr>
          <w:rFonts w:ascii="Times New Roman" w:hAnsi="Times New Roman" w:cs="Times New Roman"/>
        </w:rPr>
        <w:t xml:space="preserve"> (ESTEVES, 2016).</w:t>
      </w:r>
    </w:p>
    <w:p w14:paraId="27E2B63A" w14:textId="77777777" w:rsidR="003D4EBD" w:rsidRPr="003D4EBD" w:rsidRDefault="003D4EBD" w:rsidP="006B21D4">
      <w:pPr>
        <w:pStyle w:val="Standard"/>
        <w:spacing w:line="360" w:lineRule="auto"/>
        <w:ind w:firstLine="709"/>
        <w:jc w:val="both"/>
        <w:rPr>
          <w:rFonts w:ascii="Times New Roman" w:hAnsi="Times New Roman" w:cs="Times New Roman"/>
          <w:lang w:val="en-US"/>
        </w:rPr>
      </w:pPr>
      <w:r w:rsidRPr="003D4EBD">
        <w:rPr>
          <w:rFonts w:ascii="Times New Roman" w:hAnsi="Times New Roman" w:cs="Times New Roman"/>
          <w:lang w:val="en-US"/>
        </w:rPr>
        <w:t xml:space="preserve">The realization of these new aspects starts from the assumption that the BRICS aspire to a multipolar scenario, whose representation is broad to other emerging countries, however, is not part of these objectives a rupture in the existing system, as explained by </w:t>
      </w:r>
      <w:proofErr w:type="spellStart"/>
      <w:r w:rsidRPr="003D4EBD">
        <w:rPr>
          <w:rFonts w:ascii="Times New Roman" w:hAnsi="Times New Roman" w:cs="Times New Roman"/>
          <w:lang w:val="en-US"/>
        </w:rPr>
        <w:t>Abdenur</w:t>
      </w:r>
      <w:proofErr w:type="spellEnd"/>
      <w:r w:rsidRPr="003D4EBD">
        <w:rPr>
          <w:rFonts w:ascii="Times New Roman" w:hAnsi="Times New Roman" w:cs="Times New Roman"/>
          <w:lang w:val="en-US"/>
        </w:rPr>
        <w:t xml:space="preserve"> and Folly (2015). The idea of a more equitable, multipolar and democratic international order is overcome by the need for world influence. Such an influence followed a growing trend, the authors assert, and had its apex with the retraction of the great powers through the 2008 crisis. While the complementary role of the NDB remains evident, other aspects of world influence are obscure.</w:t>
      </w:r>
    </w:p>
    <w:p w14:paraId="57C0BCAC" w14:textId="402E2101" w:rsidR="00410542" w:rsidRDefault="003D4EBD" w:rsidP="003D4EBD">
      <w:pPr>
        <w:pStyle w:val="Standard"/>
        <w:spacing w:line="360" w:lineRule="auto"/>
        <w:ind w:firstLine="709"/>
        <w:jc w:val="both"/>
        <w:rPr>
          <w:rFonts w:ascii="Times New Roman" w:hAnsi="Times New Roman" w:cs="Times New Roman"/>
          <w:lang w:val="en-US"/>
        </w:rPr>
      </w:pPr>
      <w:r w:rsidRPr="003D4EBD">
        <w:rPr>
          <w:rFonts w:ascii="Times New Roman" w:hAnsi="Times New Roman" w:cs="Times New Roman"/>
          <w:lang w:val="en-US"/>
        </w:rPr>
        <w:t xml:space="preserve">Along these lines, </w:t>
      </w:r>
      <w:proofErr w:type="spellStart"/>
      <w:r w:rsidRPr="003D4EBD">
        <w:rPr>
          <w:rFonts w:ascii="Times New Roman" w:hAnsi="Times New Roman" w:cs="Times New Roman"/>
          <w:lang w:val="en-US"/>
        </w:rPr>
        <w:t>Stuenkel</w:t>
      </w:r>
      <w:proofErr w:type="spellEnd"/>
      <w:r w:rsidRPr="003D4EBD">
        <w:rPr>
          <w:rFonts w:ascii="Times New Roman" w:hAnsi="Times New Roman" w:cs="Times New Roman"/>
          <w:lang w:val="en-US"/>
        </w:rPr>
        <w:t xml:space="preserve"> (2017) considers whether BRICS countries are able to challenge the West's attractiveness, as well as questioning the group's ability to change the global agenda. To such questions he answers negatively, based on the soft power that any other non-Western country doesn't have. Soft power, in his studies, is based on hard power sources and maybe because of economic </w:t>
      </w:r>
      <w:proofErr w:type="spellStart"/>
      <w:r w:rsidRPr="003D4EBD">
        <w:rPr>
          <w:rFonts w:ascii="Times New Roman" w:hAnsi="Times New Roman" w:cs="Times New Roman"/>
          <w:lang w:val="en-US"/>
        </w:rPr>
        <w:t>multipolarization</w:t>
      </w:r>
      <w:proofErr w:type="spellEnd"/>
      <w:r w:rsidRPr="003D4EBD">
        <w:rPr>
          <w:rFonts w:ascii="Times New Roman" w:hAnsi="Times New Roman" w:cs="Times New Roman"/>
          <w:lang w:val="en-US"/>
        </w:rPr>
        <w:t>, non-western country like China and India can reach significant soft power.</w:t>
      </w:r>
      <w:r>
        <w:rPr>
          <w:rFonts w:ascii="Times New Roman" w:hAnsi="Times New Roman" w:cs="Times New Roman"/>
          <w:lang w:val="en-US"/>
        </w:rPr>
        <w:t xml:space="preserve"> </w:t>
      </w:r>
      <w:proofErr w:type="spellStart"/>
      <w:r w:rsidRPr="003D4EBD">
        <w:rPr>
          <w:rFonts w:ascii="Times New Roman" w:hAnsi="Times New Roman" w:cs="Times New Roman"/>
          <w:lang w:val="en-US"/>
        </w:rPr>
        <w:t>Nayyar</w:t>
      </w:r>
      <w:proofErr w:type="spellEnd"/>
      <w:r w:rsidRPr="003D4EBD">
        <w:rPr>
          <w:rFonts w:ascii="Times New Roman" w:hAnsi="Times New Roman" w:cs="Times New Roman"/>
          <w:lang w:val="en-US"/>
        </w:rPr>
        <w:t>, 2016, complements the BRICS challenge by pointing out that there could be a negative impact on developing countries, precisely by providing the scenario of competition in export markets or as an investment destination, even believing that the role of the BRICS in global governance may have prominence.</w:t>
      </w:r>
    </w:p>
    <w:p w14:paraId="2B85DF71" w14:textId="77777777" w:rsidR="003D4EBD" w:rsidRPr="003D4EBD" w:rsidRDefault="003D4EBD">
      <w:pPr>
        <w:pStyle w:val="Standard"/>
        <w:spacing w:line="360" w:lineRule="auto"/>
        <w:jc w:val="both"/>
        <w:rPr>
          <w:rFonts w:ascii="Times New Roman" w:hAnsi="Times New Roman" w:cs="Times New Roman"/>
          <w:b/>
          <w:bCs/>
          <w:sz w:val="22"/>
          <w:szCs w:val="22"/>
          <w:lang w:val="en-US"/>
        </w:rPr>
      </w:pPr>
    </w:p>
    <w:p w14:paraId="05C33B45" w14:textId="7D764166" w:rsidR="00410542" w:rsidRPr="00793628" w:rsidRDefault="00611159">
      <w:pPr>
        <w:pStyle w:val="Standard"/>
        <w:spacing w:line="360" w:lineRule="auto"/>
        <w:jc w:val="both"/>
        <w:rPr>
          <w:rFonts w:ascii="Times New Roman" w:hAnsi="Times New Roman" w:cs="Times New Roman"/>
          <w:b/>
          <w:bCs/>
          <w:lang w:val="en-US"/>
        </w:rPr>
      </w:pPr>
      <w:r w:rsidRPr="00793628">
        <w:rPr>
          <w:rFonts w:ascii="Times New Roman" w:hAnsi="Times New Roman" w:cs="Times New Roman"/>
          <w:b/>
          <w:bCs/>
          <w:lang w:val="en-US"/>
        </w:rPr>
        <w:t>4</w:t>
      </w:r>
      <w:r w:rsidR="00410542" w:rsidRPr="00793628">
        <w:rPr>
          <w:rFonts w:ascii="Times New Roman" w:hAnsi="Times New Roman" w:cs="Times New Roman"/>
          <w:b/>
          <w:bCs/>
          <w:lang w:val="en-US"/>
        </w:rPr>
        <w:t xml:space="preserve">. METHODS AND RESULTS </w:t>
      </w:r>
    </w:p>
    <w:p w14:paraId="0CA391DC" w14:textId="77777777" w:rsidR="00410542" w:rsidRPr="00793628" w:rsidRDefault="00410542">
      <w:pPr>
        <w:pStyle w:val="Standard"/>
        <w:spacing w:line="360" w:lineRule="auto"/>
        <w:jc w:val="both"/>
        <w:rPr>
          <w:rFonts w:ascii="Times New Roman" w:hAnsi="Times New Roman" w:cs="Times New Roman"/>
          <w:b/>
          <w:bCs/>
          <w:sz w:val="22"/>
          <w:szCs w:val="22"/>
          <w:lang w:val="en-US"/>
        </w:rPr>
      </w:pPr>
    </w:p>
    <w:p w14:paraId="523EEE22" w14:textId="738EAA4F" w:rsidR="00793628" w:rsidRDefault="00793628" w:rsidP="00410542">
      <w:pPr>
        <w:pStyle w:val="Standard"/>
        <w:spacing w:line="360" w:lineRule="auto"/>
        <w:ind w:firstLine="709"/>
        <w:jc w:val="both"/>
        <w:rPr>
          <w:rFonts w:ascii="Times New Roman" w:hAnsi="Times New Roman" w:cs="Times New Roman"/>
          <w:lang w:val="en-US"/>
        </w:rPr>
      </w:pPr>
      <w:r w:rsidRPr="00793628">
        <w:rPr>
          <w:rFonts w:ascii="Times New Roman" w:hAnsi="Times New Roman" w:cs="Times New Roman"/>
          <w:lang w:val="en-US"/>
        </w:rPr>
        <w:t>In the present work, the methodology used is qualitative and exploratory, deductive in nature, analyz</w:t>
      </w:r>
      <w:r>
        <w:rPr>
          <w:rFonts w:ascii="Times New Roman" w:hAnsi="Times New Roman" w:cs="Times New Roman"/>
          <w:lang w:val="en-US"/>
        </w:rPr>
        <w:t>ing official documents, namely the</w:t>
      </w:r>
      <w:r w:rsidRPr="00793628">
        <w:rPr>
          <w:rFonts w:ascii="Times New Roman" w:hAnsi="Times New Roman" w:cs="Times New Roman"/>
          <w:lang w:val="en-US"/>
        </w:rPr>
        <w:t xml:space="preserve"> financial reports of the organization in question and summary of approved projects for 2016, 2017 and 2018. In this context, there is room for a research agenda, with the possibility of delving into specific cases of projects that show relevant to elucidate the theme in question. All data analyzed were extracted from NDB's own website and refer to the list of approved projects and reported in the official financial reports of the NDB institution (2016, 2017, 2018).</w:t>
      </w:r>
    </w:p>
    <w:p w14:paraId="19EC7009" w14:textId="58631FA9" w:rsidR="00793628" w:rsidRDefault="00793628" w:rsidP="00793628">
      <w:pPr>
        <w:pStyle w:val="Standard"/>
        <w:spacing w:line="360" w:lineRule="auto"/>
        <w:ind w:firstLine="709"/>
        <w:jc w:val="both"/>
        <w:rPr>
          <w:rFonts w:ascii="Times New Roman" w:hAnsi="Times New Roman" w:cs="Times New Roman"/>
          <w:lang w:val="en-US"/>
        </w:rPr>
      </w:pPr>
      <w:r>
        <w:rPr>
          <w:rFonts w:ascii="Times New Roman" w:hAnsi="Times New Roman" w:cs="Times New Roman"/>
          <w:lang w:val="en-US"/>
        </w:rPr>
        <w:t xml:space="preserve">Considering the main topics discussed above, </w:t>
      </w:r>
      <w:r w:rsidRPr="00793628">
        <w:rPr>
          <w:rFonts w:ascii="Times New Roman" w:hAnsi="Times New Roman" w:cs="Times New Roman"/>
          <w:lang w:val="en-US"/>
        </w:rPr>
        <w:t>in line with the NDB</w:t>
      </w:r>
      <w:r>
        <w:rPr>
          <w:rFonts w:ascii="Times New Roman" w:hAnsi="Times New Roman" w:cs="Times New Roman"/>
          <w:lang w:val="en-US"/>
        </w:rPr>
        <w:t>’s</w:t>
      </w:r>
      <w:r w:rsidRPr="00793628">
        <w:rPr>
          <w:rFonts w:ascii="Times New Roman" w:hAnsi="Times New Roman" w:cs="Times New Roman"/>
          <w:lang w:val="en-US"/>
        </w:rPr>
        <w:t xml:space="preserve"> strategy, the proposed projects should be based on the development of economic, social and environmental infrastructure that mainly observe th</w:t>
      </w:r>
      <w:r>
        <w:rPr>
          <w:rFonts w:ascii="Times New Roman" w:hAnsi="Times New Roman" w:cs="Times New Roman"/>
          <w:lang w:val="en-US"/>
        </w:rPr>
        <w:t xml:space="preserve">e sustainability characteristic. Therefore, a first effort of research was to classify the projects by sector. </w:t>
      </w:r>
      <w:r w:rsidRPr="00793628">
        <w:rPr>
          <w:rFonts w:ascii="Times New Roman" w:hAnsi="Times New Roman" w:cs="Times New Roman"/>
          <w:lang w:val="en-US"/>
        </w:rPr>
        <w:t xml:space="preserve">Figure 1 indicates that </w:t>
      </w:r>
      <w:r>
        <w:rPr>
          <w:rFonts w:ascii="Times New Roman" w:hAnsi="Times New Roman" w:cs="Times New Roman"/>
          <w:lang w:val="en-US"/>
        </w:rPr>
        <w:t>among the 30</w:t>
      </w:r>
      <w:r w:rsidRPr="00793628">
        <w:rPr>
          <w:rFonts w:ascii="Times New Roman" w:hAnsi="Times New Roman" w:cs="Times New Roman"/>
          <w:lang w:val="en-US"/>
        </w:rPr>
        <w:t xml:space="preserve"> projects approved in the Bank's</w:t>
      </w:r>
      <w:r>
        <w:rPr>
          <w:rFonts w:ascii="Times New Roman" w:hAnsi="Times New Roman" w:cs="Times New Roman"/>
          <w:lang w:val="en-US"/>
        </w:rPr>
        <w:t xml:space="preserve"> first three years of activity, we identified six main investment sectors: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clean </w:t>
      </w:r>
      <w:r w:rsidRPr="00793628">
        <w:rPr>
          <w:rFonts w:ascii="Times New Roman" w:hAnsi="Times New Roman" w:cs="Times New Roman"/>
          <w:lang w:val="en-US"/>
        </w:rPr>
        <w:t>energy</w:t>
      </w:r>
      <w:r>
        <w:rPr>
          <w:rFonts w:ascii="Times New Roman" w:hAnsi="Times New Roman" w:cs="Times New Roman"/>
          <w:lang w:val="en-US"/>
        </w:rPr>
        <w:t xml:space="preserve"> (9)</w:t>
      </w:r>
      <w:r w:rsidRPr="00793628">
        <w:rPr>
          <w:rFonts w:ascii="Times New Roman" w:hAnsi="Times New Roman" w:cs="Times New Roman"/>
          <w:lang w:val="en-US"/>
        </w:rPr>
        <w:t xml:space="preserve">, </w:t>
      </w:r>
      <w:r>
        <w:rPr>
          <w:rFonts w:ascii="Times New Roman" w:hAnsi="Times New Roman" w:cs="Times New Roman"/>
          <w:lang w:val="en-US"/>
        </w:rPr>
        <w:t>ii) irrigation, water source management and sanitation (5); iii) transport infrastructure (</w:t>
      </w:r>
      <w:r w:rsidR="00BE1CC5">
        <w:rPr>
          <w:rFonts w:ascii="Times New Roman" w:hAnsi="Times New Roman" w:cs="Times New Roman"/>
          <w:lang w:val="en-US"/>
        </w:rPr>
        <w:t xml:space="preserve">9); iv) social infrastructure (1); v) </w:t>
      </w:r>
      <w:r w:rsidRPr="00793628">
        <w:rPr>
          <w:rFonts w:ascii="Times New Roman" w:hAnsi="Times New Roman" w:cs="Times New Roman"/>
          <w:lang w:val="en-US"/>
        </w:rPr>
        <w:t xml:space="preserve">urban </w:t>
      </w:r>
      <w:r w:rsidR="00BE1CC5">
        <w:rPr>
          <w:rFonts w:ascii="Times New Roman" w:hAnsi="Times New Roman" w:cs="Times New Roman"/>
          <w:lang w:val="en-US"/>
        </w:rPr>
        <w:t>development (3) and iv) environmental efficiency (2).</w:t>
      </w:r>
      <w:r w:rsidRPr="00793628">
        <w:rPr>
          <w:rFonts w:ascii="Times New Roman" w:hAnsi="Times New Roman" w:cs="Times New Roman"/>
          <w:lang w:val="en-US"/>
        </w:rPr>
        <w:t xml:space="preserve"> </w:t>
      </w:r>
    </w:p>
    <w:p w14:paraId="7E3A5EBC" w14:textId="77777777" w:rsidR="00793628" w:rsidRDefault="00793628" w:rsidP="00793628">
      <w:pPr>
        <w:pStyle w:val="Standard"/>
        <w:spacing w:line="360" w:lineRule="auto"/>
        <w:ind w:firstLine="709"/>
        <w:jc w:val="both"/>
        <w:rPr>
          <w:rFonts w:ascii="Times New Roman" w:hAnsi="Times New Roman" w:cs="Times New Roman"/>
          <w:lang w:val="en-US"/>
        </w:rPr>
      </w:pPr>
    </w:p>
    <w:p w14:paraId="181F6C1C" w14:textId="1E92BBC6" w:rsidR="006E3652" w:rsidRPr="00410542" w:rsidRDefault="006E3652" w:rsidP="00793628">
      <w:pPr>
        <w:pStyle w:val="Standard"/>
        <w:spacing w:line="360" w:lineRule="auto"/>
        <w:ind w:firstLine="709"/>
        <w:jc w:val="both"/>
        <w:rPr>
          <w:i/>
          <w:iCs/>
          <w:lang w:val="en-US"/>
        </w:rPr>
      </w:pPr>
      <w:proofErr w:type="gramStart"/>
      <w:r w:rsidRPr="00410542">
        <w:rPr>
          <w:lang w:val="en-US"/>
        </w:rPr>
        <w:t xml:space="preserve">Figure </w:t>
      </w:r>
      <w:r w:rsidRPr="006E3652">
        <w:rPr>
          <w:i/>
          <w:iCs/>
        </w:rPr>
        <w:fldChar w:fldCharType="begin"/>
      </w:r>
      <w:r w:rsidRPr="00410542">
        <w:rPr>
          <w:lang w:val="en-US"/>
        </w:rPr>
        <w:instrText xml:space="preserve"> SEQ Figure \* ARABIC </w:instrText>
      </w:r>
      <w:r w:rsidRPr="006E3652">
        <w:rPr>
          <w:i/>
          <w:iCs/>
        </w:rPr>
        <w:fldChar w:fldCharType="separate"/>
      </w:r>
      <w:r w:rsidR="00A56F07" w:rsidRPr="00410542">
        <w:rPr>
          <w:noProof/>
          <w:lang w:val="en-US"/>
        </w:rPr>
        <w:t>1</w:t>
      </w:r>
      <w:r w:rsidRPr="006E3652">
        <w:rPr>
          <w:i/>
          <w:iCs/>
        </w:rPr>
        <w:fldChar w:fldCharType="end"/>
      </w:r>
      <w:r w:rsidR="00410542" w:rsidRPr="00410542">
        <w:rPr>
          <w:lang w:val="en-US"/>
        </w:rPr>
        <w:t>.</w:t>
      </w:r>
      <w:proofErr w:type="gramEnd"/>
      <w:r w:rsidR="00410542" w:rsidRPr="00410542">
        <w:rPr>
          <w:lang w:val="en-US"/>
        </w:rPr>
        <w:t xml:space="preserve"> Number of projects approved</w:t>
      </w:r>
      <w:r w:rsidR="00410542">
        <w:rPr>
          <w:lang w:val="en-US"/>
        </w:rPr>
        <w:t>, by sector</w:t>
      </w:r>
      <w:r w:rsidR="00410542" w:rsidRPr="00410542">
        <w:rPr>
          <w:lang w:val="en-US"/>
        </w:rPr>
        <w:t xml:space="preserve"> </w:t>
      </w:r>
    </w:p>
    <w:p w14:paraId="2B710E5C" w14:textId="594BC8BB" w:rsidR="006E3652" w:rsidRDefault="006E3652" w:rsidP="006E3652">
      <w:pPr>
        <w:pStyle w:val="Standard"/>
        <w:spacing w:line="360" w:lineRule="auto"/>
        <w:jc w:val="center"/>
        <w:rPr>
          <w:rFonts w:ascii="Times New Roman" w:hAnsi="Times New Roman" w:cs="Times New Roman"/>
          <w:sz w:val="22"/>
          <w:szCs w:val="22"/>
          <w:lang w:val="en-US"/>
        </w:rPr>
      </w:pPr>
      <w:r w:rsidRPr="00CD4840">
        <w:rPr>
          <w:rFonts w:ascii="Times New Roman" w:hAnsi="Times New Roman" w:cs="Times New Roman"/>
          <w:noProof/>
          <w:lang w:val="en-US" w:eastAsia="en-US" w:bidi="ar-SA"/>
        </w:rPr>
        <w:drawing>
          <wp:inline distT="0" distB="0" distL="0" distR="0" wp14:anchorId="6C32BAF8" wp14:editId="74A383E7">
            <wp:extent cx="5124450" cy="2428875"/>
            <wp:effectExtent l="0" t="0" r="0" b="9525"/>
            <wp:docPr id="4" name="Gráfico 4">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33DB368-116D-4450-A6B7-02FD69A8D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E54AE3" w14:textId="77777777" w:rsidR="009D2C73" w:rsidRPr="00515DF7" w:rsidRDefault="009D2C73" w:rsidP="009D2C73">
      <w:pPr>
        <w:pStyle w:val="Standard"/>
        <w:spacing w:line="360" w:lineRule="auto"/>
        <w:jc w:val="center"/>
        <w:rPr>
          <w:rFonts w:ascii="Times New Roman" w:hAnsi="Times New Roman" w:cs="Times New Roman"/>
          <w:sz w:val="22"/>
          <w:szCs w:val="22"/>
          <w:lang w:val="en-US"/>
        </w:rPr>
      </w:pPr>
      <w:r w:rsidRPr="00515DF7">
        <w:rPr>
          <w:rFonts w:ascii="Times New Roman" w:hAnsi="Times New Roman" w:cs="Times New Roman"/>
          <w:sz w:val="22"/>
          <w:szCs w:val="22"/>
          <w:lang w:val="en-US"/>
        </w:rPr>
        <w:t>Source: Own elaboration, based on NDB (2016, 2017, 2018)</w:t>
      </w:r>
    </w:p>
    <w:p w14:paraId="412BA7DB" w14:textId="77777777" w:rsidR="007C359E" w:rsidRPr="009D2C73" w:rsidRDefault="007C359E" w:rsidP="007C359E">
      <w:pPr>
        <w:pStyle w:val="Standard"/>
        <w:spacing w:line="360" w:lineRule="auto"/>
        <w:ind w:firstLine="709"/>
        <w:jc w:val="both"/>
        <w:rPr>
          <w:rFonts w:ascii="Times New Roman" w:hAnsi="Times New Roman" w:cs="Times New Roman"/>
          <w:lang w:val="en-US"/>
        </w:rPr>
      </w:pPr>
    </w:p>
    <w:p w14:paraId="542FC4B3" w14:textId="66FDD87F" w:rsidR="007C359E" w:rsidRPr="007C359E" w:rsidRDefault="007C359E" w:rsidP="007C359E">
      <w:pPr>
        <w:pStyle w:val="Standard"/>
        <w:spacing w:line="360" w:lineRule="auto"/>
        <w:ind w:firstLine="709"/>
        <w:jc w:val="both"/>
        <w:rPr>
          <w:rFonts w:ascii="Times New Roman" w:hAnsi="Times New Roman" w:cs="Times New Roman"/>
          <w:lang w:val="en-US"/>
        </w:rPr>
      </w:pPr>
      <w:r w:rsidRPr="007C359E">
        <w:rPr>
          <w:rFonts w:ascii="Times New Roman" w:hAnsi="Times New Roman" w:cs="Times New Roman"/>
          <w:lang w:val="en-US"/>
        </w:rPr>
        <w:t xml:space="preserve">Figure 2 indicates the same information, but summing </w:t>
      </w:r>
      <w:r>
        <w:rPr>
          <w:rFonts w:ascii="Times New Roman" w:hAnsi="Times New Roman" w:cs="Times New Roman"/>
          <w:lang w:val="en-US"/>
        </w:rPr>
        <w:t>up</w:t>
      </w:r>
      <w:r w:rsidRPr="007C359E">
        <w:rPr>
          <w:rFonts w:ascii="Times New Roman" w:hAnsi="Times New Roman" w:cs="Times New Roman"/>
          <w:lang w:val="en-US"/>
        </w:rPr>
        <w:t xml:space="preserve"> the </w:t>
      </w:r>
      <w:r>
        <w:rPr>
          <w:rFonts w:ascii="Times New Roman" w:hAnsi="Times New Roman" w:cs="Times New Roman"/>
          <w:lang w:val="en-US"/>
        </w:rPr>
        <w:t xml:space="preserve">number of </w:t>
      </w:r>
      <w:r w:rsidRPr="007C359E">
        <w:rPr>
          <w:rFonts w:ascii="Times New Roman" w:hAnsi="Times New Roman" w:cs="Times New Roman"/>
          <w:lang w:val="en-US"/>
        </w:rPr>
        <w:t xml:space="preserve">projects since 2016, indicating </w:t>
      </w:r>
      <w:r>
        <w:rPr>
          <w:rFonts w:ascii="Times New Roman" w:hAnsi="Times New Roman" w:cs="Times New Roman"/>
          <w:lang w:val="en-US"/>
        </w:rPr>
        <w:t>a reproduction of traditional multilateral financing schemes</w:t>
      </w:r>
      <w:r w:rsidRPr="007C359E">
        <w:rPr>
          <w:rFonts w:ascii="Times New Roman" w:hAnsi="Times New Roman" w:cs="Times New Roman"/>
          <w:lang w:val="en-US"/>
        </w:rPr>
        <w:t xml:space="preserve"> </w:t>
      </w:r>
      <w:r>
        <w:rPr>
          <w:rFonts w:ascii="Times New Roman" w:hAnsi="Times New Roman" w:cs="Times New Roman"/>
          <w:lang w:val="en-US"/>
        </w:rPr>
        <w:t xml:space="preserve">focusing clean energy and transport infrastructure. </w:t>
      </w:r>
    </w:p>
    <w:p w14:paraId="4799E37D" w14:textId="515AB6A0" w:rsidR="007C359E" w:rsidRPr="009D2C73" w:rsidRDefault="007C359E" w:rsidP="009D2C73">
      <w:pPr>
        <w:pStyle w:val="Caption"/>
        <w:keepNext/>
        <w:rPr>
          <w:rFonts w:ascii="Times New Roman" w:hAnsi="Times New Roman" w:cs="Times New Roman"/>
          <w:i w:val="0"/>
          <w:lang w:val="en-US"/>
        </w:rPr>
      </w:pPr>
      <w:r w:rsidRPr="00515DF7">
        <w:rPr>
          <w:i w:val="0"/>
        </w:rPr>
        <w:t xml:space="preserve">Figure </w:t>
      </w:r>
      <w:r w:rsidRPr="00515DF7">
        <w:rPr>
          <w:i w:val="0"/>
        </w:rPr>
        <w:fldChar w:fldCharType="begin"/>
      </w:r>
      <w:r w:rsidRPr="00515DF7">
        <w:rPr>
          <w:i w:val="0"/>
        </w:rPr>
        <w:instrText xml:space="preserve"> SEQ Figure \* ARABIC </w:instrText>
      </w:r>
      <w:r w:rsidRPr="00515DF7">
        <w:rPr>
          <w:i w:val="0"/>
        </w:rPr>
        <w:fldChar w:fldCharType="separate"/>
      </w:r>
      <w:r w:rsidRPr="00515DF7">
        <w:rPr>
          <w:i w:val="0"/>
          <w:noProof/>
        </w:rPr>
        <w:t>2</w:t>
      </w:r>
      <w:r w:rsidRPr="00515DF7">
        <w:rPr>
          <w:i w:val="0"/>
        </w:rPr>
        <w:fldChar w:fldCharType="end"/>
      </w:r>
      <w:r>
        <w:rPr>
          <w:i w:val="0"/>
        </w:rPr>
        <w:t xml:space="preserve">. </w:t>
      </w:r>
      <w:r w:rsidR="009D2C73" w:rsidRPr="009D2C73">
        <w:rPr>
          <w:i w:val="0"/>
          <w:lang w:val="en-US"/>
        </w:rPr>
        <w:t>Number of Pr</w:t>
      </w:r>
      <w:r w:rsidRPr="009D2C73">
        <w:rPr>
          <w:i w:val="0"/>
          <w:lang w:val="en-US"/>
        </w:rPr>
        <w:t xml:space="preserve">ojects </w:t>
      </w:r>
      <w:r w:rsidR="009D2C73" w:rsidRPr="009D2C73">
        <w:rPr>
          <w:i w:val="0"/>
          <w:lang w:val="en-US"/>
        </w:rPr>
        <w:t>Approved by sector, in relation to the total of projects approved</w:t>
      </w:r>
      <w:r w:rsidRPr="009D2C73">
        <w:rPr>
          <w:i w:val="0"/>
          <w:lang w:val="en-US"/>
        </w:rPr>
        <w:t xml:space="preserve">, </w:t>
      </w:r>
      <w:r w:rsidR="009D2C73">
        <w:rPr>
          <w:i w:val="0"/>
          <w:lang w:val="en-US"/>
        </w:rPr>
        <w:t>from 2016 to</w:t>
      </w:r>
      <w:r w:rsidRPr="009D2C73">
        <w:rPr>
          <w:i w:val="0"/>
          <w:lang w:val="en-US"/>
        </w:rPr>
        <w:t xml:space="preserve"> 2018.</w:t>
      </w:r>
    </w:p>
    <w:p w14:paraId="75B911CA" w14:textId="77777777" w:rsidR="007C359E" w:rsidRDefault="007C359E" w:rsidP="007C359E">
      <w:pPr>
        <w:pStyle w:val="Standard"/>
        <w:spacing w:line="360" w:lineRule="auto"/>
        <w:jc w:val="both"/>
        <w:rPr>
          <w:rFonts w:ascii="Times New Roman" w:hAnsi="Times New Roman" w:cs="Times New Roman"/>
          <w:lang w:val="en-US"/>
        </w:rPr>
      </w:pPr>
      <w:r>
        <w:rPr>
          <w:noProof/>
          <w:lang w:val="en-US" w:eastAsia="en-US" w:bidi="ar-SA"/>
        </w:rPr>
        <w:drawing>
          <wp:inline distT="0" distB="0" distL="0" distR="0" wp14:anchorId="57EC7B5A" wp14:editId="26450709">
            <wp:extent cx="5760085" cy="3783330"/>
            <wp:effectExtent l="0" t="0" r="12065" b="7620"/>
            <wp:docPr id="2" name="Gráfico 2">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966C329-F8B8-4607-BE5B-7108C22F9F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0EF54C" w14:textId="77777777" w:rsidR="009D2C73" w:rsidRPr="00515DF7" w:rsidRDefault="009D2C73" w:rsidP="009D2C73">
      <w:pPr>
        <w:pStyle w:val="Standard"/>
        <w:spacing w:line="360" w:lineRule="auto"/>
        <w:jc w:val="center"/>
        <w:rPr>
          <w:rFonts w:ascii="Times New Roman" w:hAnsi="Times New Roman" w:cs="Times New Roman"/>
          <w:sz w:val="22"/>
          <w:szCs w:val="22"/>
          <w:lang w:val="en-US"/>
        </w:rPr>
      </w:pPr>
      <w:r w:rsidRPr="00515DF7">
        <w:rPr>
          <w:rFonts w:ascii="Times New Roman" w:hAnsi="Times New Roman" w:cs="Times New Roman"/>
          <w:sz w:val="22"/>
          <w:szCs w:val="22"/>
          <w:lang w:val="en-US"/>
        </w:rPr>
        <w:t>Source: Own elaboration, based on NDB (2016, 2017, 2018)</w:t>
      </w:r>
    </w:p>
    <w:p w14:paraId="4CB49F0A" w14:textId="77777777" w:rsidR="00410542" w:rsidRDefault="00410542" w:rsidP="00410542">
      <w:pPr>
        <w:pStyle w:val="Standard"/>
        <w:spacing w:line="360" w:lineRule="auto"/>
        <w:ind w:firstLine="709"/>
        <w:jc w:val="both"/>
        <w:rPr>
          <w:rFonts w:ascii="Times New Roman" w:hAnsi="Times New Roman" w:cs="Times New Roman"/>
          <w:sz w:val="22"/>
          <w:szCs w:val="22"/>
          <w:lang w:val="en-US"/>
        </w:rPr>
      </w:pPr>
    </w:p>
    <w:p w14:paraId="21D1D783" w14:textId="77777777" w:rsidR="009D2C73" w:rsidRDefault="009A1873" w:rsidP="009D2C73">
      <w:pPr>
        <w:pStyle w:val="Standard"/>
        <w:spacing w:line="360" w:lineRule="auto"/>
        <w:jc w:val="both"/>
        <w:rPr>
          <w:rFonts w:ascii="Times New Roman" w:hAnsi="Times New Roman" w:cs="Times New Roman"/>
          <w:lang w:val="en-US"/>
        </w:rPr>
      </w:pPr>
      <w:r w:rsidRPr="009D2C73">
        <w:rPr>
          <w:rFonts w:ascii="Times New Roman" w:hAnsi="Times New Roman" w:cs="Times New Roman"/>
          <w:lang w:val="en-US"/>
        </w:rPr>
        <w:tab/>
      </w:r>
      <w:r w:rsidR="007C359E" w:rsidRPr="007C359E">
        <w:rPr>
          <w:rFonts w:ascii="Times New Roman" w:hAnsi="Times New Roman" w:cs="Times New Roman"/>
          <w:lang w:val="en-US"/>
        </w:rPr>
        <w:t xml:space="preserve">In terms of approvals, </w:t>
      </w:r>
      <w:r w:rsidR="00CF2CCF" w:rsidRPr="007C359E">
        <w:rPr>
          <w:rFonts w:ascii="Times New Roman" w:hAnsi="Times New Roman" w:cs="Times New Roman"/>
          <w:lang w:val="en-US"/>
        </w:rPr>
        <w:t xml:space="preserve">USD 8 billion </w:t>
      </w:r>
      <w:proofErr w:type="gramStart"/>
      <w:r w:rsidR="007C359E" w:rsidRPr="007C359E">
        <w:rPr>
          <w:rFonts w:ascii="Times New Roman" w:hAnsi="Times New Roman" w:cs="Times New Roman"/>
          <w:lang w:val="en-US"/>
        </w:rPr>
        <w:t>were</w:t>
      </w:r>
      <w:proofErr w:type="gramEnd"/>
      <w:r w:rsidR="007C359E" w:rsidRPr="007C359E">
        <w:rPr>
          <w:rFonts w:ascii="Times New Roman" w:hAnsi="Times New Roman" w:cs="Times New Roman"/>
          <w:lang w:val="en-US"/>
        </w:rPr>
        <w:t xml:space="preserve"> directed towards sustainable </w:t>
      </w:r>
      <w:r w:rsidR="009D2C73" w:rsidRPr="007C359E">
        <w:rPr>
          <w:rFonts w:ascii="Times New Roman" w:hAnsi="Times New Roman" w:cs="Times New Roman"/>
          <w:lang w:val="en-US"/>
        </w:rPr>
        <w:t>infrastructure</w:t>
      </w:r>
      <w:r w:rsidR="007C359E" w:rsidRPr="007C359E">
        <w:rPr>
          <w:rFonts w:ascii="Times New Roman" w:hAnsi="Times New Roman" w:cs="Times New Roman"/>
          <w:lang w:val="en-US"/>
        </w:rPr>
        <w:t xml:space="preserve"> among members, and more than half of this capital was approved in 2018.</w:t>
      </w:r>
      <w:r w:rsidR="00CF2CCF" w:rsidRPr="007C359E">
        <w:rPr>
          <w:rFonts w:ascii="Times New Roman" w:hAnsi="Times New Roman" w:cs="Times New Roman"/>
          <w:lang w:val="en-US"/>
        </w:rPr>
        <w:t xml:space="preserve"> </w:t>
      </w:r>
      <w:r w:rsidR="007C359E" w:rsidRPr="007C359E">
        <w:rPr>
          <w:rFonts w:ascii="Times New Roman" w:hAnsi="Times New Roman" w:cs="Times New Roman"/>
          <w:lang w:val="en-US"/>
        </w:rPr>
        <w:t xml:space="preserve">The 2018 report argues that </w:t>
      </w:r>
      <w:r w:rsidR="007C359E">
        <w:rPr>
          <w:rFonts w:ascii="Times New Roman" w:hAnsi="Times New Roman" w:cs="Times New Roman"/>
          <w:lang w:val="en-US"/>
        </w:rPr>
        <w:t xml:space="preserve">because of </w:t>
      </w:r>
      <w:r w:rsidR="007C359E" w:rsidRPr="007C359E">
        <w:rPr>
          <w:rFonts w:ascii="Times New Roman" w:hAnsi="Times New Roman" w:cs="Times New Roman"/>
          <w:lang w:val="en-US"/>
        </w:rPr>
        <w:t>the growth experienced by Asian countries in 2018, infrastructure investments were insufficient to keep up with demand, especially as regards the need for: rapid urbanization, environmental protection, uneven growth between citie</w:t>
      </w:r>
      <w:r w:rsidR="007C359E">
        <w:rPr>
          <w:rFonts w:ascii="Times New Roman" w:hAnsi="Times New Roman" w:cs="Times New Roman"/>
          <w:lang w:val="en-US"/>
        </w:rPr>
        <w:t>s and demographic transitions.</w:t>
      </w:r>
      <w:r w:rsidR="007C359E" w:rsidRPr="007C359E">
        <w:rPr>
          <w:rFonts w:ascii="Times New Roman" w:hAnsi="Times New Roman" w:cs="Times New Roman"/>
          <w:lang w:val="en-US"/>
        </w:rPr>
        <w:t xml:space="preserve"> According to Bank expectations, in reference to the G20 Global Infrastructure Hub, US</w:t>
      </w:r>
      <w:r w:rsidR="007C359E">
        <w:rPr>
          <w:rFonts w:ascii="Times New Roman" w:hAnsi="Times New Roman" w:cs="Times New Roman"/>
          <w:lang w:val="en-US"/>
        </w:rPr>
        <w:t>D 45 trillion in investment would</w:t>
      </w:r>
      <w:r w:rsidR="007C359E" w:rsidRPr="007C359E">
        <w:rPr>
          <w:rFonts w:ascii="Times New Roman" w:hAnsi="Times New Roman" w:cs="Times New Roman"/>
          <w:lang w:val="en-US"/>
        </w:rPr>
        <w:t xml:space="preserve"> be required to meet the Sustainable Development Goals (SDG) by 2030. That is, the bet is that </w:t>
      </w:r>
      <w:r w:rsidR="007C359E">
        <w:rPr>
          <w:rFonts w:ascii="Times New Roman" w:hAnsi="Times New Roman" w:cs="Times New Roman"/>
          <w:lang w:val="en-US"/>
        </w:rPr>
        <w:t xml:space="preserve">only </w:t>
      </w:r>
      <w:r w:rsidR="007C359E" w:rsidRPr="007C359E">
        <w:rPr>
          <w:rFonts w:ascii="Times New Roman" w:hAnsi="Times New Roman" w:cs="Times New Roman"/>
          <w:lang w:val="en-US"/>
        </w:rPr>
        <w:t>a smal</w:t>
      </w:r>
      <w:r w:rsidR="007C359E">
        <w:rPr>
          <w:rFonts w:ascii="Times New Roman" w:hAnsi="Times New Roman" w:cs="Times New Roman"/>
          <w:lang w:val="en-US"/>
        </w:rPr>
        <w:t>l financial gap is being filled</w:t>
      </w:r>
      <w:r w:rsidR="007C359E" w:rsidRPr="007C359E">
        <w:rPr>
          <w:rFonts w:ascii="Times New Roman" w:hAnsi="Times New Roman" w:cs="Times New Roman"/>
          <w:lang w:val="en-US"/>
        </w:rPr>
        <w:t xml:space="preserve"> with these operations.</w:t>
      </w:r>
    </w:p>
    <w:p w14:paraId="191CE66F" w14:textId="4C69749B" w:rsidR="009D2C73" w:rsidRPr="009D2C73" w:rsidRDefault="009D2C73" w:rsidP="009D2C73">
      <w:pPr>
        <w:pStyle w:val="Standard"/>
        <w:spacing w:line="360" w:lineRule="auto"/>
        <w:ind w:firstLine="709"/>
        <w:jc w:val="both"/>
        <w:rPr>
          <w:rFonts w:ascii="Times New Roman" w:hAnsi="Times New Roman" w:cs="Times New Roman"/>
          <w:lang w:val="en-US"/>
        </w:rPr>
      </w:pPr>
      <w:proofErr w:type="gramStart"/>
      <w:r>
        <w:rPr>
          <w:rFonts w:ascii="Times New Roman" w:hAnsi="Times New Roman" w:cs="Times New Roman"/>
          <w:lang w:val="en-US"/>
        </w:rPr>
        <w:t>This also suggest</w:t>
      </w:r>
      <w:proofErr w:type="gramEnd"/>
      <w:r>
        <w:rPr>
          <w:rFonts w:ascii="Times New Roman" w:hAnsi="Times New Roman" w:cs="Times New Roman"/>
          <w:lang w:val="en-US"/>
        </w:rPr>
        <w:t xml:space="preserve"> that t</w:t>
      </w:r>
      <w:r w:rsidRPr="009D2C73">
        <w:rPr>
          <w:rFonts w:ascii="Times New Roman" w:hAnsi="Times New Roman" w:cs="Times New Roman"/>
          <w:lang w:val="en-US"/>
        </w:rPr>
        <w:t>endencies towards investment in sustainable development reflect a market still depe</w:t>
      </w:r>
      <w:r>
        <w:rPr>
          <w:rFonts w:ascii="Times New Roman" w:hAnsi="Times New Roman" w:cs="Times New Roman"/>
          <w:lang w:val="en-US"/>
        </w:rPr>
        <w:t>ndent on a traditional aid bias.</w:t>
      </w:r>
      <w:r w:rsidRPr="009D2C73">
        <w:rPr>
          <w:rFonts w:ascii="Times New Roman" w:hAnsi="Times New Roman" w:cs="Times New Roman"/>
          <w:lang w:val="en-US"/>
        </w:rPr>
        <w:t xml:space="preserve"> </w:t>
      </w:r>
      <w:r>
        <w:rPr>
          <w:rFonts w:ascii="Times New Roman" w:hAnsi="Times New Roman" w:cs="Times New Roman"/>
          <w:lang w:val="en-US"/>
        </w:rPr>
        <w:t>In addition, i</w:t>
      </w:r>
      <w:r w:rsidRPr="009D2C73">
        <w:rPr>
          <w:rFonts w:ascii="Times New Roman" w:hAnsi="Times New Roman" w:cs="Times New Roman"/>
          <w:lang w:val="en-US"/>
        </w:rPr>
        <w:t>t is worth remembering that one third of the approved projects went to the development of Chinese cities and</w:t>
      </w:r>
      <w:r>
        <w:rPr>
          <w:rFonts w:ascii="Times New Roman" w:hAnsi="Times New Roman" w:cs="Times New Roman"/>
          <w:lang w:val="en-US"/>
        </w:rPr>
        <w:t>,</w:t>
      </w:r>
      <w:r w:rsidRPr="009D2C73">
        <w:rPr>
          <w:rFonts w:ascii="Times New Roman" w:hAnsi="Times New Roman" w:cs="Times New Roman"/>
          <w:lang w:val="en-US"/>
        </w:rPr>
        <w:t xml:space="preserve"> in 2018</w:t>
      </w:r>
      <w:r>
        <w:rPr>
          <w:rFonts w:ascii="Times New Roman" w:hAnsi="Times New Roman" w:cs="Times New Roman"/>
          <w:lang w:val="en-US"/>
        </w:rPr>
        <w:t>,</w:t>
      </w:r>
      <w:r w:rsidRPr="009D2C73">
        <w:rPr>
          <w:rFonts w:ascii="Times New Roman" w:hAnsi="Times New Roman" w:cs="Times New Roman"/>
          <w:lang w:val="en-US"/>
        </w:rPr>
        <w:t xml:space="preserve"> this number grew. China's borrowings total </w:t>
      </w:r>
      <w:r>
        <w:rPr>
          <w:rFonts w:ascii="Times New Roman" w:hAnsi="Times New Roman" w:cs="Times New Roman"/>
          <w:lang w:val="en-US"/>
        </w:rPr>
        <w:t>USD</w:t>
      </w:r>
      <w:r w:rsidRPr="009D2C73">
        <w:rPr>
          <w:rFonts w:ascii="Times New Roman" w:hAnsi="Times New Roman" w:cs="Times New Roman"/>
          <w:lang w:val="en-US"/>
        </w:rPr>
        <w:t xml:space="preserve">$ 1.9 billion, </w:t>
      </w:r>
      <w:r>
        <w:rPr>
          <w:rFonts w:ascii="Times New Roman" w:hAnsi="Times New Roman" w:cs="Times New Roman"/>
          <w:lang w:val="en-US"/>
        </w:rPr>
        <w:t xml:space="preserve">although </w:t>
      </w:r>
      <w:r w:rsidRPr="009D2C73">
        <w:rPr>
          <w:rFonts w:ascii="Times New Roman" w:hAnsi="Times New Roman" w:cs="Times New Roman"/>
          <w:lang w:val="en-US"/>
        </w:rPr>
        <w:t>the projects and transfers t</w:t>
      </w:r>
      <w:r>
        <w:rPr>
          <w:rFonts w:ascii="Times New Roman" w:hAnsi="Times New Roman" w:cs="Times New Roman"/>
          <w:lang w:val="en-US"/>
        </w:rPr>
        <w:t>ook p</w:t>
      </w:r>
      <w:r w:rsidRPr="009D2C73">
        <w:rPr>
          <w:rFonts w:ascii="Times New Roman" w:hAnsi="Times New Roman" w:cs="Times New Roman"/>
          <w:lang w:val="en-US"/>
        </w:rPr>
        <w:t xml:space="preserve">lace in </w:t>
      </w:r>
      <w:proofErr w:type="spellStart"/>
      <w:r w:rsidRPr="009D2C73">
        <w:rPr>
          <w:rFonts w:ascii="Times New Roman" w:hAnsi="Times New Roman" w:cs="Times New Roman"/>
          <w:lang w:val="en-US"/>
        </w:rPr>
        <w:t>Remmimbi</w:t>
      </w:r>
      <w:proofErr w:type="spellEnd"/>
      <w:r w:rsidRPr="009D2C73">
        <w:rPr>
          <w:rFonts w:ascii="Times New Roman" w:hAnsi="Times New Roman" w:cs="Times New Roman"/>
          <w:lang w:val="en-US"/>
        </w:rPr>
        <w:t>, the local currency.</w:t>
      </w:r>
    </w:p>
    <w:p w14:paraId="097DB43E" w14:textId="04C101B3" w:rsidR="00CF2CCF" w:rsidRPr="00515DF7" w:rsidRDefault="00CF2CCF" w:rsidP="00CF2CCF">
      <w:pPr>
        <w:pStyle w:val="Caption"/>
        <w:keepNext/>
        <w:rPr>
          <w:i w:val="0"/>
          <w:lang w:val="en-US"/>
        </w:rPr>
      </w:pPr>
      <w:proofErr w:type="gramStart"/>
      <w:r w:rsidRPr="00515DF7">
        <w:rPr>
          <w:i w:val="0"/>
          <w:iCs w:val="0"/>
          <w:lang w:val="en-US"/>
        </w:rPr>
        <w:t>Figure</w:t>
      </w:r>
      <w:r w:rsidRPr="00515DF7">
        <w:rPr>
          <w:i w:val="0"/>
          <w:lang w:val="en-US"/>
        </w:rPr>
        <w:t xml:space="preserve"> </w:t>
      </w:r>
      <w:r w:rsidR="006B4155" w:rsidRPr="00515DF7">
        <w:rPr>
          <w:i w:val="0"/>
          <w:noProof/>
        </w:rPr>
        <w:fldChar w:fldCharType="begin"/>
      </w:r>
      <w:r w:rsidR="006B4155" w:rsidRPr="00515DF7">
        <w:rPr>
          <w:i w:val="0"/>
          <w:noProof/>
          <w:lang w:val="en-US"/>
        </w:rPr>
        <w:instrText xml:space="preserve"> SEQ Figure \* ARABIC </w:instrText>
      </w:r>
      <w:r w:rsidR="006B4155" w:rsidRPr="00515DF7">
        <w:rPr>
          <w:i w:val="0"/>
          <w:noProof/>
        </w:rPr>
        <w:fldChar w:fldCharType="separate"/>
      </w:r>
      <w:r w:rsidR="00A56F07" w:rsidRPr="00515DF7">
        <w:rPr>
          <w:i w:val="0"/>
          <w:noProof/>
          <w:lang w:val="en-US"/>
        </w:rPr>
        <w:t>3</w:t>
      </w:r>
      <w:r w:rsidR="006B4155" w:rsidRPr="00515DF7">
        <w:rPr>
          <w:i w:val="0"/>
          <w:noProof/>
        </w:rPr>
        <w:fldChar w:fldCharType="end"/>
      </w:r>
      <w:r w:rsidR="00515DF7" w:rsidRPr="00515DF7">
        <w:rPr>
          <w:i w:val="0"/>
          <w:noProof/>
          <w:lang w:val="en-US"/>
        </w:rPr>
        <w:t>.</w:t>
      </w:r>
      <w:proofErr w:type="gramEnd"/>
      <w:r w:rsidR="00515DF7" w:rsidRPr="00515DF7">
        <w:rPr>
          <w:i w:val="0"/>
          <w:noProof/>
          <w:lang w:val="en-US"/>
        </w:rPr>
        <w:t xml:space="preserve"> Number of projects approved, by country</w:t>
      </w:r>
    </w:p>
    <w:p w14:paraId="3FA4D6C4" w14:textId="1D4F4DBC" w:rsidR="00F37D16" w:rsidRDefault="0009351C" w:rsidP="00515DF7">
      <w:pPr>
        <w:pStyle w:val="Standard"/>
        <w:spacing w:line="360" w:lineRule="auto"/>
        <w:jc w:val="center"/>
        <w:rPr>
          <w:rFonts w:ascii="Times New Roman" w:hAnsi="Times New Roman" w:cs="Times New Roman"/>
          <w:sz w:val="22"/>
          <w:szCs w:val="22"/>
        </w:rPr>
      </w:pPr>
      <w:r>
        <w:rPr>
          <w:noProof/>
          <w:lang w:val="en-US" w:eastAsia="en-US" w:bidi="ar-SA"/>
        </w:rPr>
        <w:drawing>
          <wp:inline distT="0" distB="0" distL="0" distR="0" wp14:anchorId="2220E22E" wp14:editId="5643DBED">
            <wp:extent cx="5353050" cy="2752725"/>
            <wp:effectExtent l="0" t="0" r="0" b="0"/>
            <wp:docPr id="5" name="Gráfico 5">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2CD2DF8-50F9-489C-B0C0-79687DDA3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B62D33" w14:textId="40237F80" w:rsidR="00515DF7" w:rsidRPr="00515DF7" w:rsidRDefault="00515DF7" w:rsidP="00515DF7">
      <w:pPr>
        <w:pStyle w:val="Standard"/>
        <w:spacing w:line="360" w:lineRule="auto"/>
        <w:jc w:val="center"/>
        <w:rPr>
          <w:rFonts w:ascii="Times New Roman" w:hAnsi="Times New Roman" w:cs="Times New Roman"/>
          <w:sz w:val="22"/>
          <w:szCs w:val="22"/>
          <w:lang w:val="en-US"/>
        </w:rPr>
      </w:pPr>
      <w:r w:rsidRPr="00515DF7">
        <w:rPr>
          <w:rFonts w:ascii="Times New Roman" w:hAnsi="Times New Roman" w:cs="Times New Roman"/>
          <w:sz w:val="22"/>
          <w:szCs w:val="22"/>
          <w:lang w:val="en-US"/>
        </w:rPr>
        <w:t xml:space="preserve">Source: Own </w:t>
      </w:r>
      <w:r w:rsidR="005E035C" w:rsidRPr="00515DF7">
        <w:rPr>
          <w:rFonts w:ascii="Times New Roman" w:hAnsi="Times New Roman" w:cs="Times New Roman"/>
          <w:sz w:val="22"/>
          <w:szCs w:val="22"/>
          <w:lang w:val="en-US"/>
        </w:rPr>
        <w:t>elaboration</w:t>
      </w:r>
      <w:r w:rsidRPr="00515DF7">
        <w:rPr>
          <w:rFonts w:ascii="Times New Roman" w:hAnsi="Times New Roman" w:cs="Times New Roman"/>
          <w:sz w:val="22"/>
          <w:szCs w:val="22"/>
          <w:lang w:val="en-US"/>
        </w:rPr>
        <w:t>, based on NDB (2016, 2017, 2018)</w:t>
      </w:r>
    </w:p>
    <w:p w14:paraId="3BF0E321" w14:textId="77777777" w:rsidR="00515DF7" w:rsidRPr="00515DF7" w:rsidRDefault="00515DF7" w:rsidP="00515DF7">
      <w:pPr>
        <w:pStyle w:val="Standard"/>
        <w:spacing w:line="360" w:lineRule="auto"/>
        <w:jc w:val="center"/>
        <w:rPr>
          <w:rFonts w:ascii="Times New Roman" w:hAnsi="Times New Roman" w:cs="Times New Roman"/>
          <w:sz w:val="22"/>
          <w:szCs w:val="22"/>
          <w:lang w:val="en-US"/>
        </w:rPr>
      </w:pPr>
    </w:p>
    <w:p w14:paraId="1C18E5B5" w14:textId="2177CB60" w:rsidR="00F37D16" w:rsidRDefault="009D2C73">
      <w:pPr>
        <w:pStyle w:val="Standard"/>
        <w:spacing w:line="360" w:lineRule="auto"/>
        <w:jc w:val="both"/>
        <w:rPr>
          <w:rFonts w:ascii="Times New Roman" w:hAnsi="Times New Roman" w:cs="Times New Roman"/>
          <w:lang w:val="en-US"/>
        </w:rPr>
      </w:pPr>
      <w:r>
        <w:rPr>
          <w:rFonts w:ascii="Times New Roman" w:hAnsi="Times New Roman" w:cs="Times New Roman"/>
          <w:sz w:val="22"/>
          <w:szCs w:val="22"/>
          <w:lang w:val="en-US"/>
        </w:rPr>
        <w:tab/>
      </w:r>
      <w:r w:rsidRPr="009D2C73">
        <w:rPr>
          <w:rFonts w:ascii="Times New Roman" w:hAnsi="Times New Roman" w:cs="Times New Roman"/>
          <w:lang w:val="en-US"/>
        </w:rPr>
        <w:t xml:space="preserve">Figure 3 reinforces this issue, indicating that equitable participation in the institution is not synonymous </w:t>
      </w:r>
      <w:r>
        <w:rPr>
          <w:rFonts w:ascii="Times New Roman" w:hAnsi="Times New Roman" w:cs="Times New Roman"/>
          <w:lang w:val="en-US"/>
        </w:rPr>
        <w:t xml:space="preserve">of equal </w:t>
      </w:r>
      <w:r w:rsidRPr="009D2C73">
        <w:rPr>
          <w:rFonts w:ascii="Times New Roman" w:hAnsi="Times New Roman" w:cs="Times New Roman"/>
          <w:lang w:val="en-US"/>
        </w:rPr>
        <w:t xml:space="preserve">participation in projects. It seems that China effectively plays a prominent role in the most diverse world scenarios. For Wang (2019), </w:t>
      </w:r>
      <w:r>
        <w:rPr>
          <w:rFonts w:ascii="Times New Roman" w:hAnsi="Times New Roman" w:cs="Times New Roman"/>
          <w:lang w:val="en-US"/>
        </w:rPr>
        <w:t xml:space="preserve">BRICS </w:t>
      </w:r>
      <w:r w:rsidRPr="009D2C73">
        <w:rPr>
          <w:rFonts w:ascii="Times New Roman" w:hAnsi="Times New Roman" w:cs="Times New Roman"/>
          <w:lang w:val="en-US"/>
        </w:rPr>
        <w:t xml:space="preserve">may be an atypically influenced </w:t>
      </w:r>
      <w:r>
        <w:rPr>
          <w:rFonts w:ascii="Times New Roman" w:hAnsi="Times New Roman" w:cs="Times New Roman"/>
          <w:lang w:val="en-US"/>
        </w:rPr>
        <w:t>by</w:t>
      </w:r>
      <w:r w:rsidRPr="009D2C73">
        <w:rPr>
          <w:rFonts w:ascii="Times New Roman" w:hAnsi="Times New Roman" w:cs="Times New Roman"/>
          <w:lang w:val="en-US"/>
        </w:rPr>
        <w:t xml:space="preserve"> China. In this sense, </w:t>
      </w:r>
      <w:proofErr w:type="spellStart"/>
      <w:r w:rsidRPr="009D2C73">
        <w:rPr>
          <w:rFonts w:ascii="Times New Roman" w:hAnsi="Times New Roman" w:cs="Times New Roman"/>
          <w:lang w:val="en-US"/>
        </w:rPr>
        <w:t>Stuenkel</w:t>
      </w:r>
      <w:proofErr w:type="spellEnd"/>
      <w:r w:rsidRPr="009D2C73">
        <w:rPr>
          <w:rFonts w:ascii="Times New Roman" w:hAnsi="Times New Roman" w:cs="Times New Roman"/>
          <w:lang w:val="en-US"/>
        </w:rPr>
        <w:t xml:space="preserve"> (2017) also asserts that China's ability to influence is greater than that of other conglomerate countries. Would it be BRICS one of the China's approach to internationalization? Ramos et al. (2018) mention that each country's engagement seems to be different, with Brazil and South Africa in tow. While China and India are bumping the number of projects approved, promoting development for their territories, Brazil and South Africa do not keep up with the same pace of investment.</w:t>
      </w:r>
    </w:p>
    <w:p w14:paraId="761C39A6" w14:textId="77777777" w:rsidR="009D2C73" w:rsidRPr="009D2C73" w:rsidRDefault="009D2C73">
      <w:pPr>
        <w:pStyle w:val="Standard"/>
        <w:spacing w:line="360" w:lineRule="auto"/>
        <w:jc w:val="both"/>
        <w:rPr>
          <w:rFonts w:ascii="Times New Roman" w:hAnsi="Times New Roman" w:cs="Times New Roman"/>
          <w:lang w:val="en-US"/>
        </w:rPr>
      </w:pPr>
    </w:p>
    <w:p w14:paraId="73F61B0D" w14:textId="763741A7" w:rsidR="00F37D16" w:rsidRPr="00066846" w:rsidRDefault="00611159">
      <w:pPr>
        <w:pStyle w:val="Standard"/>
        <w:spacing w:line="360" w:lineRule="auto"/>
        <w:jc w:val="both"/>
        <w:rPr>
          <w:rFonts w:ascii="Times New Roman" w:hAnsi="Times New Roman" w:cs="Times New Roman"/>
          <w:b/>
          <w:bCs/>
          <w:lang w:val="en-US"/>
        </w:rPr>
      </w:pPr>
      <w:r>
        <w:rPr>
          <w:rFonts w:ascii="Times New Roman" w:hAnsi="Times New Roman" w:cs="Times New Roman"/>
          <w:b/>
          <w:bCs/>
          <w:lang w:val="en-US"/>
        </w:rPr>
        <w:t>5</w:t>
      </w:r>
      <w:r w:rsidR="00F77C53" w:rsidRPr="00066846">
        <w:rPr>
          <w:rFonts w:ascii="Times New Roman" w:hAnsi="Times New Roman" w:cs="Times New Roman"/>
          <w:b/>
          <w:bCs/>
          <w:lang w:val="en-US"/>
        </w:rPr>
        <w:t xml:space="preserve">. </w:t>
      </w:r>
      <w:r w:rsidR="00FE02D9" w:rsidRPr="00066846">
        <w:rPr>
          <w:rFonts w:ascii="Times New Roman" w:hAnsi="Times New Roman" w:cs="Times New Roman"/>
          <w:b/>
          <w:bCs/>
          <w:lang w:val="en-US"/>
        </w:rPr>
        <w:t xml:space="preserve">FINAL CONSIDERATIONS </w:t>
      </w:r>
    </w:p>
    <w:p w14:paraId="14815917" w14:textId="77777777" w:rsidR="00066846" w:rsidRPr="00066846" w:rsidRDefault="00066846" w:rsidP="009D5916">
      <w:pPr>
        <w:pStyle w:val="Standard"/>
        <w:spacing w:line="360" w:lineRule="auto"/>
        <w:ind w:firstLine="709"/>
        <w:jc w:val="both"/>
        <w:rPr>
          <w:rFonts w:ascii="Times New Roman" w:hAnsi="Times New Roman" w:cs="Times New Roman"/>
          <w:lang w:val="en-US"/>
        </w:rPr>
      </w:pPr>
    </w:p>
    <w:p w14:paraId="730BE641" w14:textId="77777777" w:rsidR="009D2C73" w:rsidRPr="009D2C73" w:rsidRDefault="009D2C73" w:rsidP="00066846">
      <w:pPr>
        <w:pStyle w:val="Standard"/>
        <w:spacing w:line="360" w:lineRule="auto"/>
        <w:ind w:firstLine="709"/>
        <w:jc w:val="both"/>
        <w:rPr>
          <w:rFonts w:ascii="Times New Roman" w:hAnsi="Times New Roman" w:cs="Times New Roman"/>
          <w:lang w:val="en-US"/>
        </w:rPr>
      </w:pPr>
      <w:r w:rsidRPr="009D2C73">
        <w:rPr>
          <w:rFonts w:ascii="Times New Roman" w:hAnsi="Times New Roman" w:cs="Times New Roman"/>
          <w:lang w:val="en-US"/>
        </w:rPr>
        <w:t xml:space="preserve">Global architecture, as previously pointed out, follows a flow of convergence to the interests of the great powers. In terms of world governance, the centralization of decisions by mutual agreement between hegemonies ends up excluding other players of paramount importance for the balance of the system. Thus, the main factors of reform are: the global governance architecture (G7, the voting system as well as the participation in international organizations (UN, WB, IMF), </w:t>
      </w:r>
      <w:proofErr w:type="spellStart"/>
      <w:r w:rsidRPr="009D2C73">
        <w:rPr>
          <w:rFonts w:ascii="Times New Roman" w:hAnsi="Times New Roman" w:cs="Times New Roman"/>
          <w:lang w:val="en-US"/>
        </w:rPr>
        <w:t>unipolarization</w:t>
      </w:r>
      <w:proofErr w:type="spellEnd"/>
      <w:r w:rsidRPr="009D2C73">
        <w:rPr>
          <w:rFonts w:ascii="Times New Roman" w:hAnsi="Times New Roman" w:cs="Times New Roman"/>
          <w:lang w:val="en-US"/>
        </w:rPr>
        <w:t xml:space="preserve"> and favoritism with which developed countries deal with matters of general interest). These factors fragment trust between countries and were the foundations used in the various BRICS </w:t>
      </w:r>
      <w:proofErr w:type="spellStart"/>
      <w:proofErr w:type="gramStart"/>
      <w:r w:rsidRPr="009D2C73">
        <w:rPr>
          <w:rFonts w:ascii="Times New Roman" w:hAnsi="Times New Roman" w:cs="Times New Roman"/>
          <w:lang w:val="en-US"/>
        </w:rPr>
        <w:t>meetings.In</w:t>
      </w:r>
      <w:proofErr w:type="spellEnd"/>
      <w:proofErr w:type="gramEnd"/>
      <w:r w:rsidRPr="009D2C73">
        <w:rPr>
          <w:rFonts w:ascii="Times New Roman" w:hAnsi="Times New Roman" w:cs="Times New Roman"/>
          <w:lang w:val="en-US"/>
        </w:rPr>
        <w:t xml:space="preserve"> addition to these aspects of dissatisfaction on the world political scene, other financial dimensions have caused development bottlenecks in emerging countries.</w:t>
      </w:r>
    </w:p>
    <w:p w14:paraId="5B6F4FFA" w14:textId="77777777" w:rsidR="009D2C73" w:rsidRDefault="009D2C73" w:rsidP="00066846">
      <w:pPr>
        <w:pStyle w:val="Standard"/>
        <w:spacing w:line="360" w:lineRule="auto"/>
        <w:ind w:firstLine="709"/>
        <w:jc w:val="both"/>
        <w:rPr>
          <w:rFonts w:ascii="Times New Roman" w:hAnsi="Times New Roman" w:cs="Times New Roman"/>
          <w:lang w:val="en-US"/>
        </w:rPr>
      </w:pPr>
      <w:r w:rsidRPr="009D2C73">
        <w:rPr>
          <w:rFonts w:ascii="Times New Roman" w:hAnsi="Times New Roman" w:cs="Times New Roman"/>
          <w:lang w:val="en-US"/>
        </w:rPr>
        <w:t xml:space="preserve">Given their own experience and based on a </w:t>
      </w:r>
      <w:proofErr w:type="spellStart"/>
      <w:r w:rsidRPr="009D2C73">
        <w:rPr>
          <w:rFonts w:ascii="Times New Roman" w:hAnsi="Times New Roman" w:cs="Times New Roman"/>
          <w:lang w:val="en-US"/>
        </w:rPr>
        <w:t>multipolarized</w:t>
      </w:r>
      <w:proofErr w:type="spellEnd"/>
      <w:r w:rsidRPr="009D2C73">
        <w:rPr>
          <w:rFonts w:ascii="Times New Roman" w:hAnsi="Times New Roman" w:cs="Times New Roman"/>
          <w:lang w:val="en-US"/>
        </w:rPr>
        <w:t xml:space="preserve"> world, the BRICS institutionalized a multilateral development bank. Thus, the present research inquired if the BRICS, through the institutionalization of the NDB, promoted its reformist aspect, once so spoken in the most diverse meetings of the conglomerate. On the one hand, contemporary literature has shown a reformist bias, but always in line with the interests of the system itself, on the other, part of the literature believes that there is a Chinese perspective in the realization of a reform, but the BRICS would then be a mere object of multilateral influence to implement the scheme of “China's going global”.</w:t>
      </w:r>
    </w:p>
    <w:p w14:paraId="6EBE56CA" w14:textId="585C03CF" w:rsidR="00066846" w:rsidRPr="009D2C73" w:rsidRDefault="00066846" w:rsidP="00066846">
      <w:pPr>
        <w:pStyle w:val="Standard"/>
        <w:spacing w:line="360" w:lineRule="auto"/>
        <w:ind w:firstLine="709"/>
        <w:jc w:val="both"/>
        <w:rPr>
          <w:rFonts w:ascii="Times New Roman" w:hAnsi="Times New Roman" w:cs="Times New Roman"/>
        </w:rPr>
      </w:pPr>
      <w:r w:rsidRPr="009D2C73">
        <w:rPr>
          <w:rFonts w:ascii="Times New Roman" w:hAnsi="Times New Roman" w:cs="Times New Roman"/>
          <w:color w:val="222222"/>
          <w:lang w:val="en-US"/>
        </w:rPr>
        <w:t xml:space="preserve">The NBD, so far, is the product of a discussion about shaping the international financial system’s new architecture. Also, the BRICS new institution carry on the need of the members to obtain faster and less costly sources of investment in an attempt to address the barriers to development, imposed by both IFS model and developed countries, as well. The NDB, therefore, is characterized as a sophisticated response. The BRICS grouping presents strong edges that emerged from the institutionalization project as a response. Despite the favoritism for the members’ projects, the NBD does not rule out participation in public-private projects, including with other multilateral banking institutions, nor the possibility of imposing </w:t>
      </w:r>
      <w:proofErr w:type="spellStart"/>
      <w:r w:rsidRPr="009D2C73">
        <w:rPr>
          <w:rFonts w:ascii="Times New Roman" w:hAnsi="Times New Roman" w:cs="Times New Roman"/>
          <w:color w:val="222222"/>
          <w:lang w:val="en-US"/>
        </w:rPr>
        <w:t>conditionalities</w:t>
      </w:r>
      <w:proofErr w:type="spellEnd"/>
      <w:r w:rsidRPr="009D2C73">
        <w:rPr>
          <w:rFonts w:ascii="Times New Roman" w:hAnsi="Times New Roman" w:cs="Times New Roman"/>
          <w:color w:val="222222"/>
          <w:lang w:val="en-US"/>
        </w:rPr>
        <w:t xml:space="preserve"> and other instruments that were once criticized under the IFS. Therefore, on the one hand, the institution carries the reformist and competitive discourse, but there is a growing literature that identifies </w:t>
      </w:r>
      <w:proofErr w:type="gramStart"/>
      <w:r w:rsidRPr="009D2C73">
        <w:rPr>
          <w:rFonts w:ascii="Times New Roman" w:hAnsi="Times New Roman" w:cs="Times New Roman"/>
          <w:color w:val="222222"/>
          <w:lang w:val="en-US"/>
        </w:rPr>
        <w:t>a pragmatism</w:t>
      </w:r>
      <w:proofErr w:type="gramEnd"/>
      <w:r w:rsidRPr="009D2C73">
        <w:rPr>
          <w:rFonts w:ascii="Times New Roman" w:hAnsi="Times New Roman" w:cs="Times New Roman"/>
          <w:color w:val="222222"/>
          <w:lang w:val="en-US"/>
        </w:rPr>
        <w:t xml:space="preserve"> from the financial point of view and only the institutional thickening, from the point of view of complementing today's IFS. Empirical analysis of funded projects can bring important insights to this discussion.</w:t>
      </w:r>
    </w:p>
    <w:p w14:paraId="7A3CFB1D" w14:textId="77777777" w:rsidR="009D2C73" w:rsidRPr="009D2C73" w:rsidRDefault="009D2C73" w:rsidP="009D5916">
      <w:pPr>
        <w:pStyle w:val="Standard"/>
        <w:spacing w:line="360" w:lineRule="auto"/>
        <w:ind w:firstLine="709"/>
        <w:jc w:val="both"/>
        <w:rPr>
          <w:rFonts w:ascii="Times New Roman" w:hAnsi="Times New Roman" w:cs="Times New Roman"/>
          <w:lang w:val="en-US"/>
        </w:rPr>
      </w:pPr>
      <w:r w:rsidRPr="009D2C73">
        <w:rPr>
          <w:rFonts w:ascii="Times New Roman" w:hAnsi="Times New Roman" w:cs="Times New Roman"/>
          <w:lang w:val="en-US"/>
        </w:rPr>
        <w:t xml:space="preserve">As we intensify the study in the documents provided by the BRICS Bank, we realize that the Chinese role has a greater participation than the other member countries. The NDB's main objective of promoting infrastructure investment for sustainable development still permeates only the group members, but nothing prevents other emerging countries from participating in the Bank. We also note that of the US $ 8 billion already invested more than 60% went to renewable energy and transportation infrastructure projects, of which 5 of these approved projects were destined for China and all of </w:t>
      </w:r>
      <w:proofErr w:type="gramStart"/>
      <w:r w:rsidRPr="009D2C73">
        <w:rPr>
          <w:rFonts w:ascii="Times New Roman" w:hAnsi="Times New Roman" w:cs="Times New Roman"/>
          <w:lang w:val="en-US"/>
        </w:rPr>
        <w:t>these</w:t>
      </w:r>
      <w:proofErr w:type="gramEnd"/>
      <w:r w:rsidRPr="009D2C73">
        <w:rPr>
          <w:rFonts w:ascii="Times New Roman" w:hAnsi="Times New Roman" w:cs="Times New Roman"/>
          <w:lang w:val="en-US"/>
        </w:rPr>
        <w:t xml:space="preserve"> were released in </w:t>
      </w:r>
      <w:proofErr w:type="spellStart"/>
      <w:r w:rsidRPr="009D2C73">
        <w:rPr>
          <w:rFonts w:ascii="Times New Roman" w:hAnsi="Times New Roman" w:cs="Times New Roman"/>
          <w:lang w:val="en-US"/>
        </w:rPr>
        <w:t>Remmembi</w:t>
      </w:r>
      <w:proofErr w:type="spellEnd"/>
      <w:r w:rsidRPr="009D2C73">
        <w:rPr>
          <w:rFonts w:ascii="Times New Roman" w:hAnsi="Times New Roman" w:cs="Times New Roman"/>
          <w:lang w:val="en-US"/>
        </w:rPr>
        <w:t>.</w:t>
      </w:r>
    </w:p>
    <w:p w14:paraId="47248420" w14:textId="79BA769C" w:rsidR="003360CA" w:rsidRDefault="009D2C73" w:rsidP="009D2C73">
      <w:pPr>
        <w:pStyle w:val="Standard"/>
        <w:spacing w:line="360" w:lineRule="auto"/>
        <w:ind w:firstLine="709"/>
        <w:jc w:val="both"/>
        <w:rPr>
          <w:rFonts w:ascii="Times New Roman" w:hAnsi="Times New Roman" w:cs="Times New Roman"/>
          <w:lang w:val="en-US"/>
        </w:rPr>
      </w:pPr>
      <w:r w:rsidRPr="009D2C73">
        <w:rPr>
          <w:rFonts w:ascii="Times New Roman" w:hAnsi="Times New Roman" w:cs="Times New Roman"/>
          <w:lang w:val="en-US"/>
        </w:rPr>
        <w:t xml:space="preserve">Although the investigation provides a broader picture of NDB operations, the reformist detail as intrinsic to the BRICS group is still obscure, evidence overlaps with this hypothesis and shows that there is a strong participation of China over other members. </w:t>
      </w:r>
      <w:proofErr w:type="gramStart"/>
      <w:r w:rsidRPr="009D2C73">
        <w:rPr>
          <w:rFonts w:ascii="Times New Roman" w:hAnsi="Times New Roman" w:cs="Times New Roman"/>
          <w:lang w:val="en-US"/>
        </w:rPr>
        <w:t>Is</w:t>
      </w:r>
      <w:proofErr w:type="gramEnd"/>
      <w:r w:rsidRPr="009D2C73">
        <w:rPr>
          <w:rFonts w:ascii="Times New Roman" w:hAnsi="Times New Roman" w:cs="Times New Roman"/>
          <w:lang w:val="en-US"/>
        </w:rPr>
        <w:t xml:space="preserve"> the NDB and the BRICS, then, a strategy for China to increase its influence against the other powers? As an indication of the future research agenda, from the predictions presented here, we will propose further research on Chinese influence in emerging countries and how, perhaps, it emerges as a driving force for change in the global scenario.</w:t>
      </w:r>
    </w:p>
    <w:p w14:paraId="016537FC" w14:textId="77777777" w:rsidR="009D2C73" w:rsidRPr="009D2C73" w:rsidRDefault="009D2C73" w:rsidP="009D2C73">
      <w:pPr>
        <w:pStyle w:val="Standard"/>
        <w:spacing w:line="360" w:lineRule="auto"/>
        <w:ind w:firstLine="709"/>
        <w:jc w:val="both"/>
        <w:rPr>
          <w:rFonts w:ascii="Times New Roman" w:hAnsi="Times New Roman" w:cs="Times New Roman"/>
          <w:b/>
          <w:bCs/>
          <w:lang w:val="en-US"/>
        </w:rPr>
      </w:pPr>
    </w:p>
    <w:p w14:paraId="4378A6BA" w14:textId="3BC67287" w:rsidR="00F37D16" w:rsidRPr="009D5916" w:rsidRDefault="00F77C53">
      <w:pPr>
        <w:pStyle w:val="Standard"/>
        <w:spacing w:line="360" w:lineRule="auto"/>
        <w:jc w:val="both"/>
        <w:rPr>
          <w:rFonts w:ascii="Times New Roman" w:hAnsi="Times New Roman" w:cs="Times New Roman"/>
          <w:b/>
          <w:bCs/>
        </w:rPr>
      </w:pPr>
      <w:r w:rsidRPr="009D5916">
        <w:rPr>
          <w:rFonts w:ascii="Times New Roman" w:hAnsi="Times New Roman" w:cs="Times New Roman"/>
          <w:b/>
          <w:bCs/>
        </w:rPr>
        <w:t>REFERENCES</w:t>
      </w:r>
    </w:p>
    <w:p w14:paraId="06A101B8" w14:textId="77777777" w:rsidR="00F37D16" w:rsidRPr="00CD4840" w:rsidRDefault="00F77C53">
      <w:pPr>
        <w:pStyle w:val="Standard"/>
        <w:jc w:val="both"/>
        <w:rPr>
          <w:rFonts w:ascii="Times New Roman" w:hAnsi="Times New Roman" w:cs="Times New Roman"/>
          <w:lang w:val="en-US"/>
        </w:rPr>
      </w:pPr>
      <w:r w:rsidRPr="009D5916">
        <w:rPr>
          <w:rFonts w:ascii="Times New Roman" w:hAnsi="Times New Roman" w:cs="Times New Roman"/>
        </w:rPr>
        <w:t xml:space="preserve">ABDENUR, Adriana </w:t>
      </w:r>
      <w:proofErr w:type="spellStart"/>
      <w:r w:rsidRPr="009D5916">
        <w:rPr>
          <w:rFonts w:ascii="Times New Roman" w:hAnsi="Times New Roman" w:cs="Times New Roman"/>
        </w:rPr>
        <w:t>Erthal</w:t>
      </w:r>
      <w:proofErr w:type="spellEnd"/>
      <w:r w:rsidRPr="009D5916">
        <w:rPr>
          <w:rFonts w:ascii="Times New Roman" w:hAnsi="Times New Roman" w:cs="Times New Roman"/>
        </w:rPr>
        <w:t xml:space="preserve">; FOLLY, </w:t>
      </w:r>
      <w:proofErr w:type="spellStart"/>
      <w:r w:rsidRPr="009D5916">
        <w:rPr>
          <w:rFonts w:ascii="Times New Roman" w:hAnsi="Times New Roman" w:cs="Times New Roman"/>
        </w:rPr>
        <w:t>Maiara</w:t>
      </w:r>
      <w:proofErr w:type="spellEnd"/>
      <w:r w:rsidRPr="009D5916">
        <w:rPr>
          <w:rFonts w:ascii="Times New Roman" w:hAnsi="Times New Roman" w:cs="Times New Roman"/>
        </w:rPr>
        <w:t xml:space="preserve">. </w:t>
      </w:r>
      <w:proofErr w:type="gramStart"/>
      <w:r w:rsidRPr="00CD4840">
        <w:rPr>
          <w:rFonts w:ascii="Times New Roman" w:hAnsi="Times New Roman" w:cs="Times New Roman"/>
          <w:lang w:val="en-US"/>
        </w:rPr>
        <w:t>The new development bank and the institutionalization of the BRICS.</w:t>
      </w:r>
      <w:proofErr w:type="gramEnd"/>
      <w:r w:rsidRPr="00CD4840">
        <w:rPr>
          <w:rFonts w:ascii="Times New Roman" w:hAnsi="Times New Roman" w:cs="Times New Roman"/>
          <w:lang w:val="en-US"/>
        </w:rPr>
        <w:t xml:space="preserve"> </w:t>
      </w:r>
      <w:proofErr w:type="gramStart"/>
      <w:r w:rsidRPr="00CD4840">
        <w:rPr>
          <w:rFonts w:ascii="Times New Roman" w:hAnsi="Times New Roman" w:cs="Times New Roman"/>
          <w:b/>
          <w:bCs/>
          <w:lang w:val="en-US"/>
        </w:rPr>
        <w:t>BRICS-Studies and Documents</w:t>
      </w:r>
      <w:r w:rsidRPr="00CD4840">
        <w:rPr>
          <w:rFonts w:ascii="Times New Roman" w:hAnsi="Times New Roman" w:cs="Times New Roman"/>
          <w:lang w:val="en-US"/>
        </w:rPr>
        <w:t>, p. 77-111, 2015.</w:t>
      </w:r>
      <w:proofErr w:type="gramEnd"/>
    </w:p>
    <w:p w14:paraId="69CBA2A5" w14:textId="77777777" w:rsidR="00F37D16" w:rsidRPr="00CD4840" w:rsidRDefault="00F37D16">
      <w:pPr>
        <w:pStyle w:val="Standard"/>
        <w:jc w:val="both"/>
        <w:rPr>
          <w:rFonts w:ascii="Times New Roman" w:hAnsi="Times New Roman" w:cs="Times New Roman"/>
          <w:lang w:val="en-US"/>
        </w:rPr>
      </w:pPr>
    </w:p>
    <w:p w14:paraId="442B73A0" w14:textId="77777777" w:rsidR="00F37D16" w:rsidRPr="00CD4840" w:rsidRDefault="00F77C53">
      <w:pPr>
        <w:pStyle w:val="Standard"/>
        <w:jc w:val="both"/>
        <w:rPr>
          <w:rFonts w:ascii="Times New Roman" w:hAnsi="Times New Roman" w:cs="Times New Roman"/>
        </w:rPr>
      </w:pPr>
      <w:r w:rsidRPr="00CD4840">
        <w:rPr>
          <w:rFonts w:ascii="Times New Roman" w:hAnsi="Times New Roman" w:cs="Times New Roman"/>
          <w:lang w:val="en-US"/>
        </w:rPr>
        <w:t xml:space="preserve">ABRAHAMSEN, Rita. </w:t>
      </w:r>
      <w:proofErr w:type="gramStart"/>
      <w:r w:rsidRPr="00CD4840">
        <w:rPr>
          <w:rFonts w:ascii="Times New Roman" w:hAnsi="Times New Roman" w:cs="Times New Roman"/>
          <w:lang w:val="en-US"/>
        </w:rPr>
        <w:t>The power of partnerships in global governance.</w:t>
      </w:r>
      <w:proofErr w:type="gramEnd"/>
      <w:r w:rsidRPr="00CD4840">
        <w:rPr>
          <w:rFonts w:ascii="Times New Roman" w:hAnsi="Times New Roman" w:cs="Times New Roman"/>
          <w:lang w:val="en-US"/>
        </w:rPr>
        <w:t xml:space="preserve"> </w:t>
      </w:r>
      <w:proofErr w:type="spellStart"/>
      <w:r w:rsidRPr="00CD4840">
        <w:rPr>
          <w:rFonts w:ascii="Times New Roman" w:hAnsi="Times New Roman" w:cs="Times New Roman"/>
          <w:b/>
          <w:bCs/>
        </w:rPr>
        <w:t>Third</w:t>
      </w:r>
      <w:proofErr w:type="spellEnd"/>
      <w:r w:rsidRPr="00CD4840">
        <w:rPr>
          <w:rFonts w:ascii="Times New Roman" w:hAnsi="Times New Roman" w:cs="Times New Roman"/>
          <w:b/>
          <w:bCs/>
        </w:rPr>
        <w:t xml:space="preserve"> World </w:t>
      </w:r>
      <w:proofErr w:type="spellStart"/>
      <w:r w:rsidRPr="00CD4840">
        <w:rPr>
          <w:rFonts w:ascii="Times New Roman" w:hAnsi="Times New Roman" w:cs="Times New Roman"/>
          <w:b/>
          <w:bCs/>
        </w:rPr>
        <w:t>Quarterly</w:t>
      </w:r>
      <w:proofErr w:type="spellEnd"/>
      <w:r w:rsidRPr="00CD4840">
        <w:rPr>
          <w:rFonts w:ascii="Times New Roman" w:hAnsi="Times New Roman" w:cs="Times New Roman"/>
        </w:rPr>
        <w:t>, v. 25, n. 8, p. 1453-1467, 2004.</w:t>
      </w:r>
    </w:p>
    <w:p w14:paraId="51FF993D" w14:textId="77777777" w:rsidR="00F37D16" w:rsidRPr="00CD4840" w:rsidRDefault="00F37D16">
      <w:pPr>
        <w:pStyle w:val="Standard"/>
        <w:jc w:val="both"/>
        <w:rPr>
          <w:rFonts w:ascii="Times New Roman" w:hAnsi="Times New Roman" w:cs="Times New Roman"/>
        </w:rPr>
      </w:pPr>
    </w:p>
    <w:p w14:paraId="55A6AA60" w14:textId="72B600A2" w:rsidR="00F37D16" w:rsidRPr="00066846" w:rsidRDefault="00F77C53">
      <w:pPr>
        <w:pStyle w:val="Standard"/>
        <w:jc w:val="both"/>
        <w:rPr>
          <w:rFonts w:ascii="Times New Roman" w:hAnsi="Times New Roman" w:cs="Times New Roman"/>
          <w:lang w:val="en-US"/>
        </w:rPr>
      </w:pPr>
      <w:r w:rsidRPr="00CD4840">
        <w:rPr>
          <w:rFonts w:ascii="Times New Roman" w:hAnsi="Times New Roman" w:cs="Times New Roman"/>
        </w:rPr>
        <w:t xml:space="preserve">ACIOLY, Luciana. Arquitetura financeira conjunta do BRICS: </w:t>
      </w:r>
      <w:r w:rsidR="00E02FED">
        <w:rPr>
          <w:rFonts w:ascii="Times New Roman" w:hAnsi="Times New Roman" w:cs="Times New Roman"/>
        </w:rPr>
        <w:t xml:space="preserve">o Novo Banco de Desenvolvimento, Instituto de Pesquisas Aplicada (IPEA). </w:t>
      </w:r>
      <w:proofErr w:type="gramStart"/>
      <w:r w:rsidR="00E02FED" w:rsidRPr="00066846">
        <w:rPr>
          <w:rFonts w:ascii="Times New Roman" w:hAnsi="Times New Roman" w:cs="Times New Roman"/>
          <w:lang w:val="en-US"/>
        </w:rPr>
        <w:t>Brasília,</w:t>
      </w:r>
      <w:r w:rsidRPr="00066846">
        <w:rPr>
          <w:rFonts w:ascii="Times New Roman" w:hAnsi="Times New Roman" w:cs="Times New Roman"/>
          <w:lang w:val="en-US"/>
        </w:rPr>
        <w:t xml:space="preserve"> 2019.</w:t>
      </w:r>
      <w:proofErr w:type="gramEnd"/>
    </w:p>
    <w:p w14:paraId="75E31052" w14:textId="77777777" w:rsidR="00F37D16" w:rsidRPr="00066846" w:rsidRDefault="00F37D16">
      <w:pPr>
        <w:pStyle w:val="Standard"/>
        <w:jc w:val="both"/>
        <w:rPr>
          <w:rFonts w:ascii="Times New Roman" w:hAnsi="Times New Roman" w:cs="Times New Roman"/>
          <w:lang w:val="en-US"/>
        </w:rPr>
      </w:pPr>
    </w:p>
    <w:p w14:paraId="6A0C7786" w14:textId="77777777" w:rsidR="00E02FED" w:rsidRPr="00066846" w:rsidRDefault="00F77C53">
      <w:pPr>
        <w:pStyle w:val="Standard"/>
        <w:jc w:val="both"/>
        <w:rPr>
          <w:rFonts w:ascii="Times New Roman" w:hAnsi="Times New Roman" w:cs="Times New Roman"/>
          <w:shd w:val="clear" w:color="auto" w:fill="FFFF00"/>
          <w:lang w:val="en-US"/>
        </w:rPr>
      </w:pPr>
      <w:proofErr w:type="gramStart"/>
      <w:r w:rsidRPr="00E02FED">
        <w:rPr>
          <w:rFonts w:ascii="Times New Roman" w:hAnsi="Times New Roman" w:cs="Times New Roman"/>
          <w:lang w:val="en-US"/>
        </w:rPr>
        <w:t>BARNETT, Michael; DUVALL, Raymond (Ed.).</w:t>
      </w:r>
      <w:proofErr w:type="gramEnd"/>
      <w:r w:rsidRPr="00E02FED">
        <w:rPr>
          <w:rFonts w:ascii="Times New Roman" w:hAnsi="Times New Roman" w:cs="Times New Roman"/>
          <w:lang w:val="en-US"/>
        </w:rPr>
        <w:t xml:space="preserve"> </w:t>
      </w:r>
      <w:proofErr w:type="gramStart"/>
      <w:r w:rsidRPr="00E02FED">
        <w:rPr>
          <w:rFonts w:ascii="Times New Roman" w:hAnsi="Times New Roman" w:cs="Times New Roman"/>
          <w:b/>
          <w:bCs/>
          <w:lang w:val="en-US"/>
        </w:rPr>
        <w:t xml:space="preserve">Power in </w:t>
      </w:r>
      <w:r w:rsidRPr="00066846">
        <w:rPr>
          <w:rFonts w:ascii="Times New Roman" w:hAnsi="Times New Roman" w:cs="Times New Roman"/>
          <w:b/>
          <w:lang w:val="en-US"/>
        </w:rPr>
        <w:t>global governance</w:t>
      </w:r>
      <w:r w:rsidRPr="00066846">
        <w:rPr>
          <w:rFonts w:ascii="Times New Roman" w:hAnsi="Times New Roman" w:cs="Times New Roman"/>
          <w:lang w:val="en-US"/>
        </w:rPr>
        <w:t>.</w:t>
      </w:r>
      <w:proofErr w:type="gramEnd"/>
      <w:r w:rsidRPr="00066846">
        <w:rPr>
          <w:rFonts w:ascii="Times New Roman" w:hAnsi="Times New Roman" w:cs="Times New Roman"/>
          <w:lang w:val="en-US"/>
        </w:rPr>
        <w:t xml:space="preserve"> </w:t>
      </w:r>
      <w:proofErr w:type="gramStart"/>
      <w:r w:rsidRPr="00066846">
        <w:rPr>
          <w:rFonts w:ascii="Times New Roman" w:hAnsi="Times New Roman" w:cs="Times New Roman"/>
          <w:lang w:val="en-US"/>
        </w:rPr>
        <w:t>Cambridge University Press, 2004.</w:t>
      </w:r>
      <w:proofErr w:type="gramEnd"/>
      <w:r w:rsidRPr="00066846">
        <w:rPr>
          <w:rFonts w:ascii="Times New Roman" w:hAnsi="Times New Roman" w:cs="Times New Roman"/>
          <w:lang w:val="en-US"/>
        </w:rPr>
        <w:t xml:space="preserve"> </w:t>
      </w:r>
      <w:proofErr w:type="spellStart"/>
      <w:r w:rsidRPr="00066846">
        <w:rPr>
          <w:rFonts w:ascii="Times New Roman" w:hAnsi="Times New Roman" w:cs="Times New Roman"/>
          <w:lang w:val="en-US"/>
        </w:rPr>
        <w:t>Disponível</w:t>
      </w:r>
      <w:proofErr w:type="spellEnd"/>
      <w:r w:rsidRPr="00066846">
        <w:rPr>
          <w:rFonts w:ascii="Times New Roman" w:hAnsi="Times New Roman" w:cs="Times New Roman"/>
          <w:lang w:val="en-US"/>
        </w:rPr>
        <w:t xml:space="preserve"> </w:t>
      </w:r>
      <w:proofErr w:type="spellStart"/>
      <w:r w:rsidRPr="00066846">
        <w:rPr>
          <w:rFonts w:ascii="Times New Roman" w:hAnsi="Times New Roman" w:cs="Times New Roman"/>
          <w:lang w:val="en-US"/>
        </w:rPr>
        <w:t>em</w:t>
      </w:r>
      <w:proofErr w:type="spellEnd"/>
      <w:r w:rsidRPr="00066846">
        <w:rPr>
          <w:rFonts w:ascii="Times New Roman" w:hAnsi="Times New Roman" w:cs="Times New Roman"/>
          <w:lang w:val="en-US"/>
        </w:rPr>
        <w:t xml:space="preserve"> https://bit.ly/</w:t>
      </w:r>
      <w:proofErr w:type="gramStart"/>
      <w:r w:rsidRPr="00066846">
        <w:rPr>
          <w:rFonts w:ascii="Times New Roman" w:hAnsi="Times New Roman" w:cs="Times New Roman"/>
          <w:lang w:val="en-US"/>
        </w:rPr>
        <w:t>36fU3GK ,</w:t>
      </w:r>
      <w:proofErr w:type="gramEnd"/>
      <w:r w:rsidRPr="00066846">
        <w:rPr>
          <w:rFonts w:ascii="Times New Roman" w:hAnsi="Times New Roman" w:cs="Times New Roman"/>
          <w:lang w:val="en-US"/>
        </w:rPr>
        <w:t xml:space="preserve"> a</w:t>
      </w:r>
      <w:r w:rsidR="00E02FED" w:rsidRPr="00066846">
        <w:rPr>
          <w:rFonts w:ascii="Times New Roman" w:hAnsi="Times New Roman" w:cs="Times New Roman"/>
          <w:lang w:val="en-US"/>
        </w:rPr>
        <w:t>c</w:t>
      </w:r>
      <w:r w:rsidRPr="00066846">
        <w:rPr>
          <w:rFonts w:ascii="Times New Roman" w:hAnsi="Times New Roman" w:cs="Times New Roman"/>
          <w:lang w:val="en-US"/>
        </w:rPr>
        <w:t>cess</w:t>
      </w:r>
      <w:r w:rsidR="00E02FED" w:rsidRPr="00066846">
        <w:rPr>
          <w:rFonts w:ascii="Times New Roman" w:hAnsi="Times New Roman" w:cs="Times New Roman"/>
          <w:lang w:val="en-US"/>
        </w:rPr>
        <w:t>ed on October, 22, 2019.</w:t>
      </w:r>
    </w:p>
    <w:p w14:paraId="5347D9F0" w14:textId="7B523235" w:rsidR="00F37D16" w:rsidRPr="00066846" w:rsidRDefault="00E02FED">
      <w:pPr>
        <w:pStyle w:val="Standard"/>
        <w:jc w:val="both"/>
        <w:rPr>
          <w:rFonts w:ascii="Times New Roman" w:hAnsi="Times New Roman" w:cs="Times New Roman"/>
          <w:lang w:val="en-US"/>
        </w:rPr>
      </w:pPr>
      <w:r w:rsidRPr="00066846">
        <w:rPr>
          <w:rFonts w:ascii="Times New Roman" w:hAnsi="Times New Roman" w:cs="Times New Roman"/>
          <w:lang w:val="en-US"/>
        </w:rPr>
        <w:t xml:space="preserve"> </w:t>
      </w:r>
    </w:p>
    <w:p w14:paraId="0680ACB3"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BASILE, E.; CECCHI, C. Will the BRICS succeed in leading the way to sustainable development</w:t>
      </w:r>
      <w:proofErr w:type="gramStart"/>
      <w:r w:rsidRPr="00CD4840">
        <w:rPr>
          <w:rFonts w:ascii="Times New Roman" w:hAnsi="Times New Roman" w:cs="Times New Roman"/>
          <w:lang w:val="en-US"/>
        </w:rPr>
        <w:t>?.</w:t>
      </w:r>
      <w:proofErr w:type="gramEnd"/>
      <w:r w:rsidRPr="00CD4840">
        <w:rPr>
          <w:rFonts w:ascii="Times New Roman" w:hAnsi="Times New Roman" w:cs="Times New Roman"/>
          <w:lang w:val="en-US"/>
        </w:rPr>
        <w:t xml:space="preserve"> </w:t>
      </w:r>
      <w:proofErr w:type="spellStart"/>
      <w:r w:rsidRPr="00CD4840">
        <w:rPr>
          <w:rFonts w:ascii="Times New Roman" w:hAnsi="Times New Roman" w:cs="Times New Roman"/>
          <w:b/>
          <w:bCs/>
          <w:lang w:val="en-US"/>
        </w:rPr>
        <w:t>Rivista</w:t>
      </w:r>
      <w:proofErr w:type="spellEnd"/>
      <w:r w:rsidRPr="00CD4840">
        <w:rPr>
          <w:rFonts w:ascii="Times New Roman" w:hAnsi="Times New Roman" w:cs="Times New Roman"/>
          <w:b/>
          <w:bCs/>
          <w:lang w:val="en-US"/>
        </w:rPr>
        <w:t xml:space="preserve"> di </w:t>
      </w:r>
      <w:proofErr w:type="spellStart"/>
      <w:r w:rsidRPr="00CD4840">
        <w:rPr>
          <w:rFonts w:ascii="Times New Roman" w:hAnsi="Times New Roman" w:cs="Times New Roman"/>
          <w:b/>
          <w:bCs/>
          <w:lang w:val="en-US"/>
        </w:rPr>
        <w:t>Studi</w:t>
      </w:r>
      <w:proofErr w:type="spellEnd"/>
      <w:r w:rsidRPr="00CD4840">
        <w:rPr>
          <w:rFonts w:ascii="Times New Roman" w:hAnsi="Times New Roman" w:cs="Times New Roman"/>
          <w:b/>
          <w:bCs/>
          <w:lang w:val="en-US"/>
        </w:rPr>
        <w:t xml:space="preserve"> </w:t>
      </w:r>
      <w:proofErr w:type="spellStart"/>
      <w:r w:rsidRPr="00CD4840">
        <w:rPr>
          <w:rFonts w:ascii="Times New Roman" w:hAnsi="Times New Roman" w:cs="Times New Roman"/>
          <w:b/>
          <w:bCs/>
          <w:lang w:val="en-US"/>
        </w:rPr>
        <w:t>Politici</w:t>
      </w:r>
      <w:proofErr w:type="spellEnd"/>
      <w:r w:rsidRPr="00CD4840">
        <w:rPr>
          <w:rFonts w:ascii="Times New Roman" w:hAnsi="Times New Roman" w:cs="Times New Roman"/>
          <w:b/>
          <w:bCs/>
          <w:lang w:val="en-US"/>
        </w:rPr>
        <w:t xml:space="preserve"> </w:t>
      </w:r>
      <w:proofErr w:type="spellStart"/>
      <w:r w:rsidRPr="00CD4840">
        <w:rPr>
          <w:rFonts w:ascii="Times New Roman" w:hAnsi="Times New Roman" w:cs="Times New Roman"/>
          <w:b/>
          <w:bCs/>
          <w:lang w:val="en-US"/>
        </w:rPr>
        <w:t>Internazionali</w:t>
      </w:r>
      <w:proofErr w:type="spellEnd"/>
      <w:r w:rsidRPr="00CD4840">
        <w:rPr>
          <w:rFonts w:ascii="Times New Roman" w:hAnsi="Times New Roman" w:cs="Times New Roman"/>
          <w:lang w:val="en-US"/>
        </w:rPr>
        <w:t>, v. 85, n. 2, p. 223-234, 2018.</w:t>
      </w:r>
    </w:p>
    <w:p w14:paraId="116E00B5" w14:textId="77777777" w:rsidR="00F37D16" w:rsidRPr="00CD4840" w:rsidRDefault="00F37D16">
      <w:pPr>
        <w:pStyle w:val="Standard"/>
        <w:jc w:val="both"/>
        <w:rPr>
          <w:rFonts w:ascii="Times New Roman" w:hAnsi="Times New Roman" w:cs="Times New Roman"/>
          <w:lang w:val="en-US"/>
        </w:rPr>
      </w:pPr>
    </w:p>
    <w:p w14:paraId="441DE3A4" w14:textId="77777777" w:rsidR="00F37D16" w:rsidRPr="001D6FF6" w:rsidRDefault="00F77C53">
      <w:pPr>
        <w:pStyle w:val="Standard"/>
        <w:jc w:val="both"/>
        <w:rPr>
          <w:rFonts w:ascii="Times New Roman" w:hAnsi="Times New Roman" w:cs="Times New Roman"/>
        </w:rPr>
      </w:pPr>
      <w:proofErr w:type="gramStart"/>
      <w:r w:rsidRPr="00CD4840">
        <w:rPr>
          <w:rFonts w:ascii="Times New Roman" w:hAnsi="Times New Roman" w:cs="Times New Roman"/>
          <w:lang w:val="en-US"/>
        </w:rPr>
        <w:t xml:space="preserve">BERGAMASCHI, </w:t>
      </w:r>
      <w:proofErr w:type="spellStart"/>
      <w:r w:rsidRPr="00CD4840">
        <w:rPr>
          <w:rFonts w:ascii="Times New Roman" w:hAnsi="Times New Roman" w:cs="Times New Roman"/>
          <w:lang w:val="en-US"/>
        </w:rPr>
        <w:t>Isaline</w:t>
      </w:r>
      <w:proofErr w:type="spellEnd"/>
      <w:r w:rsidRPr="00CD4840">
        <w:rPr>
          <w:rFonts w:ascii="Times New Roman" w:hAnsi="Times New Roman" w:cs="Times New Roman"/>
          <w:lang w:val="en-US"/>
        </w:rPr>
        <w:t>; MOORE, Phoebe; TICKNER, Arlene B. (Ed.).</w:t>
      </w:r>
      <w:proofErr w:type="gramEnd"/>
      <w:r w:rsidRPr="00CD4840">
        <w:rPr>
          <w:rFonts w:ascii="Times New Roman" w:hAnsi="Times New Roman" w:cs="Times New Roman"/>
          <w:lang w:val="en-US"/>
        </w:rPr>
        <w:t xml:space="preserve"> </w:t>
      </w:r>
      <w:r w:rsidRPr="00CD4840">
        <w:rPr>
          <w:rFonts w:ascii="Times New Roman" w:hAnsi="Times New Roman" w:cs="Times New Roman"/>
          <w:b/>
          <w:bCs/>
          <w:lang w:val="en-US"/>
        </w:rPr>
        <w:t>South-South Cooperation Beyond the Myths: Rising Donors, New Aid Practices</w:t>
      </w:r>
      <w:proofErr w:type="gramStart"/>
      <w:r w:rsidRPr="00CD4840">
        <w:rPr>
          <w:rFonts w:ascii="Times New Roman" w:hAnsi="Times New Roman" w:cs="Times New Roman"/>
          <w:b/>
          <w:bCs/>
          <w:lang w:val="en-US"/>
        </w:rPr>
        <w:t>?</w:t>
      </w:r>
      <w:r w:rsidRPr="00CD4840">
        <w:rPr>
          <w:rFonts w:ascii="Times New Roman" w:hAnsi="Times New Roman" w:cs="Times New Roman"/>
          <w:lang w:val="en-US"/>
        </w:rPr>
        <w:t>.</w:t>
      </w:r>
      <w:proofErr w:type="gramEnd"/>
      <w:r w:rsidRPr="00CD4840">
        <w:rPr>
          <w:rFonts w:ascii="Times New Roman" w:hAnsi="Times New Roman" w:cs="Times New Roman"/>
          <w:lang w:val="en-US"/>
        </w:rPr>
        <w:t xml:space="preserve"> </w:t>
      </w:r>
      <w:r w:rsidRPr="001D6FF6">
        <w:rPr>
          <w:rFonts w:ascii="Times New Roman" w:hAnsi="Times New Roman" w:cs="Times New Roman"/>
        </w:rPr>
        <w:t>Springer, 2017.</w:t>
      </w:r>
    </w:p>
    <w:p w14:paraId="382698F3" w14:textId="77777777" w:rsidR="003360CA" w:rsidRDefault="003360CA">
      <w:pPr>
        <w:pStyle w:val="Standard"/>
        <w:jc w:val="both"/>
        <w:rPr>
          <w:rFonts w:ascii="Times New Roman" w:hAnsi="Times New Roman" w:cs="Times New Roman"/>
        </w:rPr>
      </w:pPr>
    </w:p>
    <w:p w14:paraId="49B2D3C8" w14:textId="031E3010" w:rsidR="00F37D16" w:rsidRDefault="003360CA">
      <w:pPr>
        <w:pStyle w:val="Standard"/>
        <w:jc w:val="both"/>
        <w:rPr>
          <w:rFonts w:ascii="Times New Roman" w:hAnsi="Times New Roman" w:cs="Times New Roman"/>
          <w:lang w:val="en-US"/>
        </w:rPr>
      </w:pPr>
      <w:r w:rsidRPr="001D6FF6">
        <w:rPr>
          <w:rFonts w:ascii="Times New Roman" w:hAnsi="Times New Roman" w:cs="Times New Roman"/>
        </w:rPr>
        <w:t xml:space="preserve">ESTEVES, Paulo; GOMES, </w:t>
      </w:r>
      <w:proofErr w:type="spellStart"/>
      <w:r w:rsidRPr="001D6FF6">
        <w:rPr>
          <w:rFonts w:ascii="Times New Roman" w:hAnsi="Times New Roman" w:cs="Times New Roman"/>
        </w:rPr>
        <w:t>Geovana</w:t>
      </w:r>
      <w:proofErr w:type="spellEnd"/>
      <w:r w:rsidRPr="001D6FF6">
        <w:rPr>
          <w:rFonts w:ascii="Times New Roman" w:hAnsi="Times New Roman" w:cs="Times New Roman"/>
        </w:rPr>
        <w:t xml:space="preserve"> </w:t>
      </w:r>
      <w:proofErr w:type="spellStart"/>
      <w:r w:rsidRPr="001D6FF6">
        <w:rPr>
          <w:rFonts w:ascii="Times New Roman" w:hAnsi="Times New Roman" w:cs="Times New Roman"/>
        </w:rPr>
        <w:t>Zoccal</w:t>
      </w:r>
      <w:proofErr w:type="spellEnd"/>
      <w:r w:rsidRPr="001D6FF6">
        <w:rPr>
          <w:rFonts w:ascii="Times New Roman" w:hAnsi="Times New Roman" w:cs="Times New Roman"/>
        </w:rPr>
        <w:t xml:space="preserve">; TORRES, Gabriel. Os BRICS e o Novo Banco de Desenvolvimento. </w:t>
      </w:r>
      <w:r w:rsidRPr="001D6FF6">
        <w:rPr>
          <w:rFonts w:ascii="Times New Roman" w:hAnsi="Times New Roman" w:cs="Times New Roman"/>
          <w:b/>
          <w:bCs/>
          <w:lang w:val="en-US"/>
        </w:rPr>
        <w:t>BPC Policy Brief</w:t>
      </w:r>
      <w:r w:rsidRPr="003360CA">
        <w:rPr>
          <w:rFonts w:ascii="Times New Roman" w:hAnsi="Times New Roman" w:cs="Times New Roman"/>
          <w:lang w:val="en-US"/>
        </w:rPr>
        <w:t>, v. 6, n. 3, 2016.</w:t>
      </w:r>
    </w:p>
    <w:p w14:paraId="50C9C973" w14:textId="77777777" w:rsidR="003360CA" w:rsidRPr="00CD4840" w:rsidRDefault="003360CA">
      <w:pPr>
        <w:pStyle w:val="Standard"/>
        <w:jc w:val="both"/>
        <w:rPr>
          <w:rFonts w:ascii="Times New Roman" w:hAnsi="Times New Roman" w:cs="Times New Roman"/>
          <w:lang w:val="en-US"/>
        </w:rPr>
      </w:pPr>
    </w:p>
    <w:p w14:paraId="6C738B40"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 xml:space="preserve">FISCHER, Stanley. Reforming the international financial system. </w:t>
      </w:r>
      <w:proofErr w:type="gramStart"/>
      <w:r w:rsidRPr="00CD4840">
        <w:rPr>
          <w:rFonts w:ascii="Times New Roman" w:hAnsi="Times New Roman" w:cs="Times New Roman"/>
          <w:b/>
          <w:bCs/>
          <w:lang w:val="en-US"/>
        </w:rPr>
        <w:t>The Economic Journal,</w:t>
      </w:r>
      <w:r w:rsidRPr="00CD4840">
        <w:rPr>
          <w:rFonts w:ascii="Times New Roman" w:hAnsi="Times New Roman" w:cs="Times New Roman"/>
          <w:lang w:val="en-US"/>
        </w:rPr>
        <w:t xml:space="preserve"> v. 109, n. 459, p. F557-F576, 1999.</w:t>
      </w:r>
      <w:proofErr w:type="gramEnd"/>
    </w:p>
    <w:p w14:paraId="27B21029" w14:textId="77777777" w:rsidR="00F37D16" w:rsidRPr="00CD4840" w:rsidRDefault="00F37D16">
      <w:pPr>
        <w:pStyle w:val="Standard"/>
        <w:jc w:val="both"/>
        <w:rPr>
          <w:rFonts w:ascii="Times New Roman" w:hAnsi="Times New Roman" w:cs="Times New Roman"/>
          <w:lang w:val="en-US"/>
        </w:rPr>
      </w:pPr>
    </w:p>
    <w:p w14:paraId="7522BCBF" w14:textId="77777777" w:rsidR="00F37D16" w:rsidRPr="00CD4840" w:rsidRDefault="00F77C53">
      <w:pPr>
        <w:pStyle w:val="Standard"/>
        <w:jc w:val="both"/>
        <w:rPr>
          <w:rFonts w:ascii="Times New Roman" w:hAnsi="Times New Roman" w:cs="Times New Roman"/>
          <w:lang w:val="en-US"/>
        </w:rPr>
      </w:pPr>
      <w:proofErr w:type="gramStart"/>
      <w:r w:rsidRPr="00CD4840">
        <w:rPr>
          <w:rFonts w:ascii="Times New Roman" w:hAnsi="Times New Roman" w:cs="Times New Roman"/>
          <w:lang w:val="en-US"/>
        </w:rPr>
        <w:t xml:space="preserve">GOURINCHAS, Pierre-Olivier; REY, Hélène; SAUZET, </w:t>
      </w:r>
      <w:proofErr w:type="spellStart"/>
      <w:r w:rsidRPr="00CD4840">
        <w:rPr>
          <w:rFonts w:ascii="Times New Roman" w:hAnsi="Times New Roman" w:cs="Times New Roman"/>
          <w:lang w:val="en-US"/>
        </w:rPr>
        <w:t>Maxime</w:t>
      </w:r>
      <w:proofErr w:type="spellEnd"/>
      <w:r w:rsidRPr="00CD4840">
        <w:rPr>
          <w:rFonts w:ascii="Times New Roman" w:hAnsi="Times New Roman" w:cs="Times New Roman"/>
          <w:lang w:val="en-US"/>
        </w:rPr>
        <w:t>.</w:t>
      </w:r>
      <w:proofErr w:type="gramEnd"/>
      <w:r w:rsidRPr="00CD4840">
        <w:rPr>
          <w:rFonts w:ascii="Times New Roman" w:hAnsi="Times New Roman" w:cs="Times New Roman"/>
          <w:lang w:val="en-US"/>
        </w:rPr>
        <w:t xml:space="preserve"> </w:t>
      </w:r>
      <w:proofErr w:type="gramStart"/>
      <w:r w:rsidRPr="00CD4840">
        <w:rPr>
          <w:rFonts w:ascii="Times New Roman" w:hAnsi="Times New Roman" w:cs="Times New Roman"/>
          <w:lang w:val="en-US"/>
        </w:rPr>
        <w:t>The international monetary and financial system.</w:t>
      </w:r>
      <w:proofErr w:type="gramEnd"/>
      <w:r w:rsidRPr="00CD4840">
        <w:rPr>
          <w:rFonts w:ascii="Times New Roman" w:hAnsi="Times New Roman" w:cs="Times New Roman"/>
          <w:lang w:val="en-US"/>
        </w:rPr>
        <w:t xml:space="preserve"> </w:t>
      </w:r>
      <w:proofErr w:type="gramStart"/>
      <w:r w:rsidRPr="00CD4840">
        <w:rPr>
          <w:rFonts w:ascii="Times New Roman" w:hAnsi="Times New Roman" w:cs="Times New Roman"/>
          <w:b/>
          <w:bCs/>
          <w:lang w:val="en-US"/>
        </w:rPr>
        <w:t>Annual Review of Economics</w:t>
      </w:r>
      <w:r w:rsidRPr="00CD4840">
        <w:rPr>
          <w:rFonts w:ascii="Times New Roman" w:hAnsi="Times New Roman" w:cs="Times New Roman"/>
          <w:lang w:val="en-US"/>
        </w:rPr>
        <w:t>, v. 11, p. 859-893, 2019.</w:t>
      </w:r>
      <w:proofErr w:type="gramEnd"/>
    </w:p>
    <w:p w14:paraId="50AFF302" w14:textId="77777777" w:rsidR="00F37D16" w:rsidRPr="00CD4840" w:rsidRDefault="00F37D16">
      <w:pPr>
        <w:pStyle w:val="Standard"/>
        <w:jc w:val="both"/>
        <w:rPr>
          <w:rFonts w:ascii="Times New Roman" w:hAnsi="Times New Roman" w:cs="Times New Roman"/>
          <w:lang w:val="en-US"/>
        </w:rPr>
      </w:pPr>
    </w:p>
    <w:p w14:paraId="090A64E1" w14:textId="77777777" w:rsidR="00F37D16"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 xml:space="preserve">GRIFFITH-JONES, </w:t>
      </w:r>
      <w:proofErr w:type="spellStart"/>
      <w:r w:rsidRPr="00CD4840">
        <w:rPr>
          <w:rFonts w:ascii="Times New Roman" w:hAnsi="Times New Roman" w:cs="Times New Roman"/>
          <w:lang w:val="en-US"/>
        </w:rPr>
        <w:t>Stephany</w:t>
      </w:r>
      <w:proofErr w:type="spellEnd"/>
      <w:r w:rsidRPr="00CD4840">
        <w:rPr>
          <w:rFonts w:ascii="Times New Roman" w:hAnsi="Times New Roman" w:cs="Times New Roman"/>
          <w:lang w:val="en-US"/>
        </w:rPr>
        <w:t xml:space="preserve"> et al. A</w:t>
      </w:r>
      <w:r w:rsidRPr="00CD4840">
        <w:rPr>
          <w:rFonts w:ascii="Times New Roman" w:hAnsi="Times New Roman" w:cs="Times New Roman"/>
          <w:b/>
          <w:bCs/>
          <w:lang w:val="en-US"/>
        </w:rPr>
        <w:t xml:space="preserve"> BRICS development bank: a dream coming true</w:t>
      </w:r>
      <w:proofErr w:type="gramStart"/>
      <w:r w:rsidRPr="00CD4840">
        <w:rPr>
          <w:rFonts w:ascii="Times New Roman" w:hAnsi="Times New Roman" w:cs="Times New Roman"/>
          <w:b/>
          <w:bCs/>
          <w:lang w:val="en-US"/>
        </w:rPr>
        <w:t>?.</w:t>
      </w:r>
      <w:proofErr w:type="gramEnd"/>
      <w:r w:rsidRPr="00CD4840">
        <w:rPr>
          <w:rFonts w:ascii="Times New Roman" w:hAnsi="Times New Roman" w:cs="Times New Roman"/>
          <w:lang w:val="en-US"/>
        </w:rPr>
        <w:t xml:space="preserve"> </w:t>
      </w:r>
      <w:proofErr w:type="gramStart"/>
      <w:r w:rsidRPr="00CD4840">
        <w:rPr>
          <w:rFonts w:ascii="Times New Roman" w:hAnsi="Times New Roman" w:cs="Times New Roman"/>
          <w:lang w:val="en-US"/>
        </w:rPr>
        <w:t>United Nations Conference on Trade and Development, 2014.</w:t>
      </w:r>
      <w:proofErr w:type="gramEnd"/>
    </w:p>
    <w:p w14:paraId="1E25F616" w14:textId="77777777" w:rsidR="001D6FF6" w:rsidRPr="001D6FF6" w:rsidRDefault="001D6FF6">
      <w:pPr>
        <w:pStyle w:val="Standard"/>
        <w:jc w:val="both"/>
        <w:rPr>
          <w:rFonts w:ascii="Times New Roman" w:hAnsi="Times New Roman" w:cs="Times New Roman"/>
          <w:lang w:val="en-US"/>
        </w:rPr>
      </w:pPr>
    </w:p>
    <w:p w14:paraId="315E7E4A" w14:textId="5B219D3C" w:rsidR="001D6FF6" w:rsidRDefault="001D6FF6">
      <w:pPr>
        <w:pStyle w:val="Standard"/>
        <w:jc w:val="both"/>
        <w:rPr>
          <w:rFonts w:ascii="Times New Roman" w:hAnsi="Times New Roman" w:cs="Times New Roman"/>
          <w:lang w:val="en-US"/>
        </w:rPr>
      </w:pPr>
      <w:r w:rsidRPr="00301780">
        <w:rPr>
          <w:rFonts w:ascii="Times New Roman" w:hAnsi="Times New Roman" w:cs="Times New Roman"/>
          <w:lang w:val="en-US"/>
        </w:rPr>
        <w:t xml:space="preserve">G7. </w:t>
      </w:r>
      <w:proofErr w:type="gramStart"/>
      <w:r w:rsidRPr="00301780">
        <w:rPr>
          <w:rFonts w:ascii="Times New Roman" w:hAnsi="Times New Roman" w:cs="Times New Roman"/>
          <w:lang w:val="en-US"/>
        </w:rPr>
        <w:t>Report of G7 Finance Ministers to the Köln Economic Summit, 1999.</w:t>
      </w:r>
      <w:proofErr w:type="gramEnd"/>
      <w:r w:rsidRPr="00301780">
        <w:rPr>
          <w:rFonts w:ascii="Times New Roman" w:hAnsi="Times New Roman" w:cs="Times New Roman"/>
          <w:lang w:val="en-US"/>
        </w:rPr>
        <w:t xml:space="preserve"> Available at: </w:t>
      </w:r>
      <w:hyperlink r:id="rId12" w:history="1">
        <w:r w:rsidRPr="001D6FF6">
          <w:rPr>
            <w:rStyle w:val="Hyperlink"/>
            <w:rFonts w:ascii="Times New Roman" w:hAnsi="Times New Roman" w:cs="Times New Roman"/>
            <w:lang w:val="en-US"/>
          </w:rPr>
          <w:t>https://www.mofa.go.jp/policy/economy/summit/1999/g7econo.html</w:t>
        </w:r>
      </w:hyperlink>
      <w:r w:rsidRPr="001D6FF6">
        <w:rPr>
          <w:rFonts w:ascii="Times New Roman" w:hAnsi="Times New Roman" w:cs="Times New Roman"/>
          <w:lang w:val="en-US"/>
        </w:rPr>
        <w:t>, accessed on 11, November 2019.</w:t>
      </w:r>
    </w:p>
    <w:p w14:paraId="011058F0" w14:textId="77777777" w:rsidR="00A764B6" w:rsidRPr="00A764B6" w:rsidRDefault="00A764B6">
      <w:pPr>
        <w:pStyle w:val="Standard"/>
        <w:jc w:val="both"/>
        <w:rPr>
          <w:rFonts w:ascii="Times New Roman" w:hAnsi="Times New Roman" w:cs="Times New Roman"/>
          <w:lang w:val="en-US"/>
        </w:rPr>
      </w:pPr>
    </w:p>
    <w:p w14:paraId="77C0820C" w14:textId="30EFF82B" w:rsidR="00066846" w:rsidRPr="00A764B6" w:rsidRDefault="00A764B6">
      <w:pPr>
        <w:pStyle w:val="Standard"/>
        <w:jc w:val="both"/>
        <w:rPr>
          <w:rFonts w:ascii="Times New Roman" w:hAnsi="Times New Roman" w:cs="Times New Roman"/>
          <w:lang w:val="en-US"/>
        </w:rPr>
      </w:pPr>
      <w:r w:rsidRPr="00A764B6">
        <w:rPr>
          <w:rFonts w:ascii="Times New Roman" w:hAnsi="Times New Roman" w:cs="Times New Roman"/>
          <w:color w:val="222222"/>
          <w:shd w:val="clear" w:color="auto" w:fill="FFFFFF"/>
          <w:lang w:val="en-US"/>
        </w:rPr>
        <w:t xml:space="preserve">JASH, Amrita. </w:t>
      </w:r>
      <w:proofErr w:type="gramStart"/>
      <w:r w:rsidRPr="00A764B6">
        <w:rPr>
          <w:rFonts w:ascii="Times New Roman" w:hAnsi="Times New Roman" w:cs="Times New Roman"/>
          <w:color w:val="222222"/>
          <w:shd w:val="clear" w:color="auto" w:fill="FFFFFF"/>
          <w:lang w:val="en-US"/>
        </w:rPr>
        <w:t>The Emerging Role of BRICS in the Changing World Order.</w:t>
      </w:r>
      <w:proofErr w:type="gramEnd"/>
      <w:r w:rsidRPr="00A764B6">
        <w:rPr>
          <w:rFonts w:ascii="Times New Roman" w:hAnsi="Times New Roman" w:cs="Times New Roman"/>
          <w:color w:val="222222"/>
          <w:shd w:val="clear" w:color="auto" w:fill="FFFFFF"/>
          <w:lang w:val="en-US"/>
        </w:rPr>
        <w:t> </w:t>
      </w:r>
      <w:proofErr w:type="spellStart"/>
      <w:r w:rsidRPr="00A764B6">
        <w:rPr>
          <w:rFonts w:ascii="Times New Roman" w:hAnsi="Times New Roman" w:cs="Times New Roman"/>
          <w:b/>
          <w:bCs/>
          <w:color w:val="222222"/>
          <w:shd w:val="clear" w:color="auto" w:fill="FFFFFF"/>
        </w:rPr>
        <w:t>IndraStra</w:t>
      </w:r>
      <w:proofErr w:type="spellEnd"/>
      <w:r w:rsidRPr="00A764B6">
        <w:rPr>
          <w:rFonts w:ascii="Times New Roman" w:hAnsi="Times New Roman" w:cs="Times New Roman"/>
          <w:b/>
          <w:bCs/>
          <w:color w:val="222222"/>
          <w:shd w:val="clear" w:color="auto" w:fill="FFFFFF"/>
        </w:rPr>
        <w:t xml:space="preserve"> Global</w:t>
      </w:r>
      <w:r w:rsidRPr="00A764B6">
        <w:rPr>
          <w:rFonts w:ascii="Times New Roman" w:hAnsi="Times New Roman" w:cs="Times New Roman"/>
          <w:color w:val="222222"/>
          <w:shd w:val="clear" w:color="auto" w:fill="FFFFFF"/>
        </w:rPr>
        <w:t>, n. 6, p. 11, 2017.</w:t>
      </w:r>
    </w:p>
    <w:p w14:paraId="6B3099B5" w14:textId="77777777" w:rsidR="00A764B6" w:rsidRDefault="00A764B6">
      <w:pPr>
        <w:pStyle w:val="Standard"/>
        <w:jc w:val="both"/>
        <w:rPr>
          <w:rFonts w:ascii="Times New Roman" w:hAnsi="Times New Roman" w:cs="Times New Roman"/>
          <w:lang w:val="en-US"/>
        </w:rPr>
      </w:pPr>
    </w:p>
    <w:p w14:paraId="3E2FA568"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 xml:space="preserve">NAYYAR, Deepak. </w:t>
      </w:r>
      <w:proofErr w:type="gramStart"/>
      <w:r w:rsidRPr="00CD4840">
        <w:rPr>
          <w:rFonts w:ascii="Times New Roman" w:hAnsi="Times New Roman" w:cs="Times New Roman"/>
          <w:lang w:val="en-US"/>
        </w:rPr>
        <w:t>BRICS, developing countries and global governance.</w:t>
      </w:r>
      <w:proofErr w:type="gramEnd"/>
      <w:r w:rsidRPr="00CD4840">
        <w:rPr>
          <w:rFonts w:ascii="Times New Roman" w:hAnsi="Times New Roman" w:cs="Times New Roman"/>
          <w:lang w:val="en-US"/>
        </w:rPr>
        <w:t xml:space="preserve"> </w:t>
      </w:r>
      <w:proofErr w:type="gramStart"/>
      <w:r w:rsidRPr="00CD4840">
        <w:rPr>
          <w:rFonts w:ascii="Times New Roman" w:hAnsi="Times New Roman" w:cs="Times New Roman"/>
          <w:b/>
          <w:bCs/>
          <w:lang w:val="en-US"/>
        </w:rPr>
        <w:t>Third World Quarterly</w:t>
      </w:r>
      <w:r w:rsidRPr="00CD4840">
        <w:rPr>
          <w:rFonts w:ascii="Times New Roman" w:hAnsi="Times New Roman" w:cs="Times New Roman"/>
          <w:lang w:val="en-US"/>
        </w:rPr>
        <w:t>, v. 37, n. 4, p. 575-591, 2016.</w:t>
      </w:r>
      <w:proofErr w:type="gramEnd"/>
    </w:p>
    <w:p w14:paraId="508469C5" w14:textId="77777777" w:rsidR="00C43FDB" w:rsidRPr="001D6FF6" w:rsidRDefault="00C43FDB" w:rsidP="00C43FDB">
      <w:pPr>
        <w:pStyle w:val="Standard"/>
        <w:jc w:val="both"/>
        <w:rPr>
          <w:rFonts w:ascii="Times New Roman" w:hAnsi="Times New Roman" w:cs="Times New Roman"/>
          <w:shd w:val="clear" w:color="auto" w:fill="FFFF00"/>
          <w:lang w:val="en-US"/>
        </w:rPr>
      </w:pPr>
    </w:p>
    <w:p w14:paraId="79D7B9E6" w14:textId="6579558C" w:rsidR="00301780" w:rsidRPr="00301780" w:rsidRDefault="00301780" w:rsidP="00C43FDB">
      <w:pPr>
        <w:pStyle w:val="Standard"/>
        <w:jc w:val="both"/>
        <w:rPr>
          <w:rFonts w:ascii="Times New Roman" w:hAnsi="Times New Roman" w:cs="Times New Roman"/>
          <w:color w:val="000000" w:themeColor="text1"/>
          <w:lang w:val="en-US"/>
        </w:rPr>
      </w:pPr>
      <w:r w:rsidRPr="00301780">
        <w:rPr>
          <w:rFonts w:ascii="Times New Roman" w:hAnsi="Times New Roman" w:cs="Times New Roman"/>
          <w:color w:val="000000" w:themeColor="text1"/>
          <w:lang w:val="en-US"/>
        </w:rPr>
        <w:t>NEW DEVELOPMENT BANK (NBD).</w:t>
      </w:r>
      <w:r w:rsidRPr="00301780">
        <w:rPr>
          <w:rFonts w:ascii="Times New Roman" w:hAnsi="Times New Roman" w:cs="Times New Roman"/>
          <w:b/>
          <w:bCs/>
          <w:i/>
          <w:iCs/>
          <w:color w:val="000000" w:themeColor="text1"/>
          <w:shd w:val="clear" w:color="auto" w:fill="FFFFFF"/>
          <w:lang w:val="en-US"/>
        </w:rPr>
        <w:t xml:space="preserve"> </w:t>
      </w:r>
      <w:proofErr w:type="gramStart"/>
      <w:r w:rsidRPr="00301780">
        <w:rPr>
          <w:rStyle w:val="Emphasis"/>
          <w:rFonts w:ascii="Times New Roman" w:hAnsi="Times New Roman" w:cs="Times New Roman"/>
          <w:b/>
          <w:bCs/>
          <w:i w:val="0"/>
          <w:iCs w:val="0"/>
          <w:color w:val="000000" w:themeColor="text1"/>
          <w:shd w:val="clear" w:color="auto" w:fill="FFFFFF"/>
          <w:lang w:val="en-US"/>
        </w:rPr>
        <w:t>NDB's General Strategy</w:t>
      </w:r>
      <w:r w:rsidRPr="00301780">
        <w:rPr>
          <w:rFonts w:ascii="Times New Roman" w:hAnsi="Times New Roman" w:cs="Times New Roman"/>
          <w:color w:val="000000" w:themeColor="text1"/>
          <w:shd w:val="clear" w:color="auto" w:fill="FFFFFF"/>
          <w:lang w:val="en-US"/>
        </w:rPr>
        <w:t>: </w:t>
      </w:r>
      <w:r w:rsidRPr="00301780">
        <w:rPr>
          <w:rStyle w:val="Emphasis"/>
          <w:rFonts w:ascii="Times New Roman" w:hAnsi="Times New Roman" w:cs="Times New Roman"/>
          <w:b/>
          <w:bCs/>
          <w:i w:val="0"/>
          <w:iCs w:val="0"/>
          <w:color w:val="000000" w:themeColor="text1"/>
          <w:shd w:val="clear" w:color="auto" w:fill="FFFFFF"/>
          <w:lang w:val="en-US"/>
        </w:rPr>
        <w:t>2017 – 2021</w:t>
      </w:r>
      <w:r w:rsidRPr="00301780">
        <w:rPr>
          <w:rFonts w:ascii="Times New Roman" w:hAnsi="Times New Roman" w:cs="Times New Roman"/>
          <w:color w:val="000000" w:themeColor="text1"/>
          <w:shd w:val="clear" w:color="auto" w:fill="FFFFFF"/>
          <w:lang w:val="en-US"/>
        </w:rPr>
        <w:t>.</w:t>
      </w:r>
      <w:proofErr w:type="gramEnd"/>
      <w:r w:rsidRPr="00301780">
        <w:rPr>
          <w:rFonts w:ascii="Times New Roman" w:hAnsi="Times New Roman" w:cs="Times New Roman"/>
          <w:color w:val="000000" w:themeColor="text1"/>
          <w:shd w:val="clear" w:color="auto" w:fill="FFFFFF"/>
          <w:lang w:val="en-US"/>
        </w:rPr>
        <w:t xml:space="preserve"> Available at: </w:t>
      </w:r>
    </w:p>
    <w:p w14:paraId="64039334" w14:textId="6D0CECCC" w:rsidR="00301780" w:rsidRPr="00301780" w:rsidRDefault="00301780" w:rsidP="00C43FDB">
      <w:pPr>
        <w:pStyle w:val="Standard"/>
        <w:jc w:val="both"/>
        <w:rPr>
          <w:rFonts w:ascii="Times New Roman" w:hAnsi="Times New Roman" w:cs="Times New Roman"/>
          <w:color w:val="000000" w:themeColor="text1"/>
          <w:lang w:val="en-US"/>
        </w:rPr>
      </w:pPr>
      <w:r w:rsidRPr="00E02FED">
        <w:rPr>
          <w:rFonts w:ascii="Times New Roman" w:hAnsi="Times New Roman" w:cs="Times New Roman"/>
          <w:color w:val="000000" w:themeColor="text1"/>
          <w:lang w:val="en-US"/>
        </w:rPr>
        <w:t>https://www.ndb.int/about-us/strategy/strategy/</w:t>
      </w:r>
      <w:r w:rsidRPr="00301780">
        <w:rPr>
          <w:rFonts w:ascii="Times New Roman" w:hAnsi="Times New Roman" w:cs="Times New Roman"/>
          <w:color w:val="000000" w:themeColor="text1"/>
          <w:lang w:val="en-US"/>
        </w:rPr>
        <w:t xml:space="preserve">, accessed on 11, </w:t>
      </w:r>
      <w:proofErr w:type="gramStart"/>
      <w:r w:rsidRPr="00301780">
        <w:rPr>
          <w:rFonts w:ascii="Times New Roman" w:hAnsi="Times New Roman" w:cs="Times New Roman"/>
          <w:color w:val="000000" w:themeColor="text1"/>
          <w:lang w:val="en-US"/>
        </w:rPr>
        <w:t>November,</w:t>
      </w:r>
      <w:proofErr w:type="gramEnd"/>
      <w:r w:rsidRPr="00301780">
        <w:rPr>
          <w:rFonts w:ascii="Times New Roman" w:hAnsi="Times New Roman" w:cs="Times New Roman"/>
          <w:color w:val="000000" w:themeColor="text1"/>
          <w:lang w:val="en-US"/>
        </w:rPr>
        <w:t xml:space="preserve"> 2019.</w:t>
      </w:r>
    </w:p>
    <w:p w14:paraId="2B170F97" w14:textId="77777777" w:rsidR="00301780" w:rsidRDefault="00301780" w:rsidP="00C43FDB">
      <w:pPr>
        <w:pStyle w:val="Standard"/>
        <w:jc w:val="both"/>
        <w:rPr>
          <w:rFonts w:ascii="Times New Roman" w:hAnsi="Times New Roman" w:cs="Times New Roman"/>
          <w:lang w:val="en-US"/>
        </w:rPr>
      </w:pPr>
    </w:p>
    <w:p w14:paraId="02DA9857" w14:textId="77777777" w:rsidR="00C43FDB" w:rsidRPr="00C43FDB" w:rsidRDefault="00C43FDB" w:rsidP="00C43FDB">
      <w:pPr>
        <w:pStyle w:val="Standard"/>
        <w:jc w:val="both"/>
        <w:rPr>
          <w:rFonts w:ascii="Times New Roman" w:hAnsi="Times New Roman" w:cs="Times New Roman"/>
          <w:lang w:val="en-US"/>
        </w:rPr>
      </w:pPr>
      <w:r w:rsidRPr="00C43FDB">
        <w:rPr>
          <w:rFonts w:ascii="Times New Roman" w:hAnsi="Times New Roman" w:cs="Times New Roman"/>
          <w:lang w:val="en-US"/>
        </w:rPr>
        <w:t xml:space="preserve">NEW DEVELOPMENT BANK (NBD). </w:t>
      </w:r>
      <w:r w:rsidRPr="00C43FDB">
        <w:rPr>
          <w:rFonts w:ascii="Times New Roman" w:hAnsi="Times New Roman" w:cs="Times New Roman"/>
          <w:b/>
          <w:bCs/>
          <w:lang w:val="en-US"/>
        </w:rPr>
        <w:t>Annual Report</w:t>
      </w:r>
      <w:r>
        <w:rPr>
          <w:rFonts w:ascii="Times New Roman" w:hAnsi="Times New Roman" w:cs="Times New Roman"/>
          <w:lang w:val="en-US"/>
        </w:rPr>
        <w:t xml:space="preserve">: Towards a greener tomorrow. </w:t>
      </w:r>
      <w:r w:rsidRPr="00C43FDB">
        <w:rPr>
          <w:rFonts w:ascii="Times New Roman" w:hAnsi="Times New Roman" w:cs="Times New Roman"/>
        </w:rPr>
        <w:t>BRICS, 2016. Disponível em</w:t>
      </w:r>
      <w:r>
        <w:rPr>
          <w:rFonts w:ascii="Times New Roman" w:hAnsi="Times New Roman" w:cs="Times New Roman"/>
        </w:rPr>
        <w:t>: &lt;</w:t>
      </w:r>
      <w:r w:rsidRPr="00C43FDB">
        <w:rPr>
          <w:rFonts w:ascii="Times New Roman" w:hAnsi="Times New Roman" w:cs="Times New Roman"/>
        </w:rPr>
        <w:t>http://www.ndb.int/wp-content/uploads/2017/10/NDB-ANNUAL-REPORT-2016.pdf</w:t>
      </w:r>
      <w:r>
        <w:rPr>
          <w:rFonts w:ascii="Times New Roman" w:hAnsi="Times New Roman" w:cs="Times New Roman"/>
        </w:rPr>
        <w:t xml:space="preserve">&gt;. </w:t>
      </w:r>
      <w:proofErr w:type="spellStart"/>
      <w:r w:rsidRPr="00C43FDB">
        <w:rPr>
          <w:rFonts w:ascii="Times New Roman" w:hAnsi="Times New Roman" w:cs="Times New Roman"/>
          <w:lang w:val="en-US"/>
        </w:rPr>
        <w:t>Acesso</w:t>
      </w:r>
      <w:proofErr w:type="spellEnd"/>
      <w:r w:rsidRPr="00C43FDB">
        <w:rPr>
          <w:rFonts w:ascii="Times New Roman" w:hAnsi="Times New Roman" w:cs="Times New Roman"/>
          <w:lang w:val="en-US"/>
        </w:rPr>
        <w:t xml:space="preserve"> em</w:t>
      </w:r>
      <w:proofErr w:type="gramStart"/>
      <w:r w:rsidRPr="00C43FDB">
        <w:rPr>
          <w:rFonts w:ascii="Times New Roman" w:hAnsi="Times New Roman" w:cs="Times New Roman"/>
          <w:lang w:val="en-US"/>
        </w:rPr>
        <w:t>:10</w:t>
      </w:r>
      <w:proofErr w:type="gramEnd"/>
      <w:r w:rsidRPr="00C43FDB">
        <w:rPr>
          <w:rFonts w:ascii="Times New Roman" w:hAnsi="Times New Roman" w:cs="Times New Roman"/>
          <w:lang w:val="en-US"/>
        </w:rPr>
        <w:t xml:space="preserve"> set. 2019.</w:t>
      </w:r>
    </w:p>
    <w:p w14:paraId="1712F90E" w14:textId="77777777" w:rsidR="00C43FDB" w:rsidRPr="00C43FDB" w:rsidRDefault="00C43FDB" w:rsidP="00C43FDB">
      <w:pPr>
        <w:pStyle w:val="Standard"/>
        <w:jc w:val="both"/>
        <w:rPr>
          <w:rFonts w:ascii="Times New Roman" w:hAnsi="Times New Roman" w:cs="Times New Roman"/>
          <w:lang w:val="en-US"/>
        </w:rPr>
      </w:pPr>
    </w:p>
    <w:p w14:paraId="4DE95173" w14:textId="77777777" w:rsidR="00C43FDB" w:rsidRPr="00C43FDB" w:rsidRDefault="00C43FDB" w:rsidP="00C43FDB">
      <w:pPr>
        <w:pStyle w:val="Standard"/>
        <w:jc w:val="both"/>
        <w:rPr>
          <w:rFonts w:ascii="Times New Roman" w:hAnsi="Times New Roman" w:cs="Times New Roman"/>
          <w:lang w:val="en-US"/>
        </w:rPr>
      </w:pPr>
      <w:r w:rsidRPr="00C43FDB">
        <w:rPr>
          <w:rFonts w:ascii="Times New Roman" w:hAnsi="Times New Roman" w:cs="Times New Roman"/>
          <w:lang w:val="en-US"/>
        </w:rPr>
        <w:t xml:space="preserve">NEW DEVELOPMENT BANK (NBD). </w:t>
      </w:r>
      <w:r w:rsidRPr="00C43FDB">
        <w:rPr>
          <w:rFonts w:ascii="Times New Roman" w:hAnsi="Times New Roman" w:cs="Times New Roman"/>
          <w:b/>
          <w:bCs/>
          <w:lang w:val="en-US"/>
        </w:rPr>
        <w:t>Annual Report</w:t>
      </w:r>
      <w:r>
        <w:rPr>
          <w:rFonts w:ascii="Times New Roman" w:hAnsi="Times New Roman" w:cs="Times New Roman"/>
          <w:lang w:val="en-US"/>
        </w:rPr>
        <w:t xml:space="preserve">: Developing Solutions for a Sustainable Future. </w:t>
      </w:r>
      <w:r w:rsidRPr="00C43FDB">
        <w:rPr>
          <w:rFonts w:ascii="Times New Roman" w:hAnsi="Times New Roman" w:cs="Times New Roman"/>
        </w:rPr>
        <w:t xml:space="preserve">BRICS, </w:t>
      </w:r>
      <w:r>
        <w:rPr>
          <w:rFonts w:ascii="Times New Roman" w:hAnsi="Times New Roman" w:cs="Times New Roman"/>
        </w:rPr>
        <w:t>2017</w:t>
      </w:r>
      <w:r w:rsidRPr="00C43FDB">
        <w:rPr>
          <w:rFonts w:ascii="Times New Roman" w:hAnsi="Times New Roman" w:cs="Times New Roman"/>
        </w:rPr>
        <w:t>. Disponível em</w:t>
      </w:r>
      <w:r>
        <w:rPr>
          <w:rFonts w:ascii="Times New Roman" w:hAnsi="Times New Roman" w:cs="Times New Roman"/>
        </w:rPr>
        <w:t>: &lt;</w:t>
      </w:r>
      <w:r w:rsidRPr="00C43FDB">
        <w:t xml:space="preserve"> </w:t>
      </w:r>
      <w:r w:rsidRPr="00C43FDB">
        <w:rPr>
          <w:rFonts w:ascii="Times New Roman" w:hAnsi="Times New Roman" w:cs="Times New Roman"/>
        </w:rPr>
        <w:t>http://www.ndb.int/wp-content/uploads/2018/07/NDB_AR2017.pdf</w:t>
      </w:r>
      <w:r>
        <w:rPr>
          <w:rFonts w:ascii="Times New Roman" w:hAnsi="Times New Roman" w:cs="Times New Roman"/>
        </w:rPr>
        <w:t xml:space="preserve">&gt;. </w:t>
      </w:r>
      <w:proofErr w:type="spellStart"/>
      <w:r w:rsidRPr="00C43FDB">
        <w:rPr>
          <w:rFonts w:ascii="Times New Roman" w:hAnsi="Times New Roman" w:cs="Times New Roman"/>
          <w:lang w:val="en-US"/>
        </w:rPr>
        <w:t>Acesso</w:t>
      </w:r>
      <w:proofErr w:type="spellEnd"/>
      <w:r w:rsidRPr="00C43FDB">
        <w:rPr>
          <w:rFonts w:ascii="Times New Roman" w:hAnsi="Times New Roman" w:cs="Times New Roman"/>
          <w:lang w:val="en-US"/>
        </w:rPr>
        <w:t xml:space="preserve"> em</w:t>
      </w:r>
      <w:proofErr w:type="gramStart"/>
      <w:r w:rsidRPr="00C43FDB">
        <w:rPr>
          <w:rFonts w:ascii="Times New Roman" w:hAnsi="Times New Roman" w:cs="Times New Roman"/>
          <w:lang w:val="en-US"/>
        </w:rPr>
        <w:t>:10</w:t>
      </w:r>
      <w:proofErr w:type="gramEnd"/>
      <w:r w:rsidRPr="00C43FDB">
        <w:rPr>
          <w:rFonts w:ascii="Times New Roman" w:hAnsi="Times New Roman" w:cs="Times New Roman"/>
          <w:lang w:val="en-US"/>
        </w:rPr>
        <w:t xml:space="preserve"> set. 2019.</w:t>
      </w:r>
    </w:p>
    <w:p w14:paraId="0AE67E93" w14:textId="77777777" w:rsidR="00C43FDB" w:rsidRPr="00C43FDB" w:rsidRDefault="00C43FDB" w:rsidP="00C43FDB">
      <w:pPr>
        <w:pStyle w:val="Standard"/>
        <w:jc w:val="both"/>
        <w:rPr>
          <w:rFonts w:ascii="Times New Roman" w:hAnsi="Times New Roman" w:cs="Times New Roman"/>
          <w:lang w:val="en-US"/>
        </w:rPr>
      </w:pPr>
    </w:p>
    <w:p w14:paraId="4792800E" w14:textId="77777777" w:rsidR="00C43FDB" w:rsidRPr="001D6FF6" w:rsidRDefault="00C43FDB" w:rsidP="00C43FDB">
      <w:pPr>
        <w:pStyle w:val="Standard"/>
        <w:jc w:val="both"/>
        <w:rPr>
          <w:rFonts w:ascii="Times New Roman" w:hAnsi="Times New Roman" w:cs="Times New Roman"/>
          <w:lang w:val="en-US"/>
        </w:rPr>
      </w:pPr>
      <w:r w:rsidRPr="00C43FDB">
        <w:rPr>
          <w:rFonts w:ascii="Times New Roman" w:hAnsi="Times New Roman" w:cs="Times New Roman"/>
          <w:lang w:val="en-US"/>
        </w:rPr>
        <w:t xml:space="preserve">NEW DEVELOPMENT BANK (NBD). </w:t>
      </w:r>
      <w:r w:rsidRPr="00C43FDB">
        <w:rPr>
          <w:rFonts w:ascii="Times New Roman" w:hAnsi="Times New Roman" w:cs="Times New Roman"/>
          <w:b/>
          <w:bCs/>
          <w:lang w:val="en-US"/>
        </w:rPr>
        <w:t>Annual Report</w:t>
      </w:r>
      <w:r>
        <w:rPr>
          <w:rFonts w:ascii="Times New Roman" w:hAnsi="Times New Roman" w:cs="Times New Roman"/>
          <w:lang w:val="en-US"/>
        </w:rPr>
        <w:t xml:space="preserve">: Investing for Impact. </w:t>
      </w:r>
      <w:r w:rsidRPr="00C43FDB">
        <w:rPr>
          <w:rFonts w:ascii="Times New Roman" w:hAnsi="Times New Roman" w:cs="Times New Roman"/>
        </w:rPr>
        <w:t xml:space="preserve">BRICS, </w:t>
      </w:r>
      <w:r>
        <w:rPr>
          <w:rFonts w:ascii="Times New Roman" w:hAnsi="Times New Roman" w:cs="Times New Roman"/>
        </w:rPr>
        <w:t>2018</w:t>
      </w:r>
      <w:r w:rsidRPr="00C43FDB">
        <w:rPr>
          <w:rFonts w:ascii="Times New Roman" w:hAnsi="Times New Roman" w:cs="Times New Roman"/>
        </w:rPr>
        <w:t>. Disponível em</w:t>
      </w:r>
      <w:r>
        <w:rPr>
          <w:rFonts w:ascii="Times New Roman" w:hAnsi="Times New Roman" w:cs="Times New Roman"/>
        </w:rPr>
        <w:t>: &lt;</w:t>
      </w:r>
      <w:r w:rsidRPr="00C43FDB">
        <w:rPr>
          <w:rFonts w:ascii="Times New Roman" w:hAnsi="Times New Roman" w:cs="Times New Roman"/>
        </w:rPr>
        <w:t>http://www.ndb.int/wp-content/uploads/2019/07/NDB_AR2018.pdf</w:t>
      </w:r>
      <w:r>
        <w:rPr>
          <w:rFonts w:ascii="Times New Roman" w:hAnsi="Times New Roman" w:cs="Times New Roman"/>
        </w:rPr>
        <w:t xml:space="preserve">&gt;. </w:t>
      </w:r>
      <w:proofErr w:type="spellStart"/>
      <w:r w:rsidRPr="001D6FF6">
        <w:rPr>
          <w:rFonts w:ascii="Times New Roman" w:hAnsi="Times New Roman" w:cs="Times New Roman"/>
          <w:lang w:val="en-US"/>
        </w:rPr>
        <w:t>Acesso</w:t>
      </w:r>
      <w:proofErr w:type="spellEnd"/>
      <w:r w:rsidRPr="001D6FF6">
        <w:rPr>
          <w:rFonts w:ascii="Times New Roman" w:hAnsi="Times New Roman" w:cs="Times New Roman"/>
          <w:lang w:val="en-US"/>
        </w:rPr>
        <w:t xml:space="preserve"> em</w:t>
      </w:r>
      <w:proofErr w:type="gramStart"/>
      <w:r w:rsidRPr="001D6FF6">
        <w:rPr>
          <w:rFonts w:ascii="Times New Roman" w:hAnsi="Times New Roman" w:cs="Times New Roman"/>
          <w:lang w:val="en-US"/>
        </w:rPr>
        <w:t>:10</w:t>
      </w:r>
      <w:proofErr w:type="gramEnd"/>
      <w:r w:rsidRPr="001D6FF6">
        <w:rPr>
          <w:rFonts w:ascii="Times New Roman" w:hAnsi="Times New Roman" w:cs="Times New Roman"/>
          <w:lang w:val="en-US"/>
        </w:rPr>
        <w:t xml:space="preserve"> set. 2019.</w:t>
      </w:r>
    </w:p>
    <w:p w14:paraId="44E94FFC" w14:textId="77777777" w:rsidR="00F37D16" w:rsidRPr="00D7417F" w:rsidRDefault="00F37D16">
      <w:pPr>
        <w:pStyle w:val="Standard"/>
        <w:jc w:val="both"/>
        <w:rPr>
          <w:rFonts w:ascii="Times New Roman" w:hAnsi="Times New Roman" w:cs="Times New Roman"/>
          <w:color w:val="000000" w:themeColor="text1"/>
          <w:lang w:val="en-US"/>
        </w:rPr>
      </w:pPr>
    </w:p>
    <w:p w14:paraId="45AE6225" w14:textId="77777777" w:rsidR="00F37D16" w:rsidRPr="00D7417F" w:rsidRDefault="00F77C53">
      <w:pPr>
        <w:pStyle w:val="Standard"/>
        <w:jc w:val="both"/>
        <w:rPr>
          <w:rFonts w:ascii="Times New Roman" w:hAnsi="Times New Roman" w:cs="Times New Roman"/>
          <w:color w:val="000000" w:themeColor="text1"/>
        </w:rPr>
      </w:pPr>
      <w:r w:rsidRPr="00D7417F">
        <w:rPr>
          <w:rFonts w:ascii="Times New Roman" w:hAnsi="Times New Roman" w:cs="Times New Roman"/>
          <w:color w:val="000000" w:themeColor="text1"/>
          <w:lang w:val="en-US"/>
        </w:rPr>
        <w:t xml:space="preserve">KAISER, Karl; KIRTON, John J. </w:t>
      </w:r>
      <w:r w:rsidRPr="00D7417F">
        <w:rPr>
          <w:rFonts w:ascii="Times New Roman" w:hAnsi="Times New Roman" w:cs="Times New Roman"/>
          <w:b/>
          <w:bCs/>
          <w:color w:val="000000" w:themeColor="text1"/>
          <w:lang w:val="en-US"/>
        </w:rPr>
        <w:t>Shaping a new international financial system: Challenges of governance in a globalizing world.</w:t>
      </w:r>
      <w:r w:rsidRPr="00D7417F">
        <w:rPr>
          <w:rFonts w:ascii="Times New Roman" w:hAnsi="Times New Roman" w:cs="Times New Roman"/>
          <w:color w:val="000000" w:themeColor="text1"/>
          <w:lang w:val="en-US"/>
        </w:rPr>
        <w:t xml:space="preserve"> </w:t>
      </w:r>
      <w:proofErr w:type="spellStart"/>
      <w:r w:rsidRPr="00D7417F">
        <w:rPr>
          <w:rFonts w:ascii="Times New Roman" w:hAnsi="Times New Roman" w:cs="Times New Roman"/>
          <w:color w:val="000000" w:themeColor="text1"/>
        </w:rPr>
        <w:t>Routledge</w:t>
      </w:r>
      <w:proofErr w:type="spellEnd"/>
      <w:r w:rsidRPr="00D7417F">
        <w:rPr>
          <w:rFonts w:ascii="Times New Roman" w:hAnsi="Times New Roman" w:cs="Times New Roman"/>
          <w:color w:val="000000" w:themeColor="text1"/>
        </w:rPr>
        <w:t>, 2019.</w:t>
      </w:r>
    </w:p>
    <w:p w14:paraId="4DF7F8FC" w14:textId="54F0C3AB" w:rsidR="00F37D16" w:rsidRPr="00D7417F" w:rsidRDefault="00F37D16">
      <w:pPr>
        <w:pStyle w:val="Standard"/>
        <w:jc w:val="both"/>
        <w:rPr>
          <w:rFonts w:ascii="Times New Roman" w:hAnsi="Times New Roman" w:cs="Times New Roman"/>
          <w:color w:val="000000" w:themeColor="text1"/>
        </w:rPr>
      </w:pPr>
    </w:p>
    <w:p w14:paraId="338F6D36" w14:textId="15EC5B48" w:rsidR="005828ED" w:rsidRDefault="005828ED" w:rsidP="001D6FF6">
      <w:pPr>
        <w:pStyle w:val="Standard"/>
        <w:jc w:val="both"/>
        <w:rPr>
          <w:rFonts w:ascii="Times New Roman" w:hAnsi="Times New Roman" w:cs="Times New Roman"/>
        </w:rPr>
      </w:pPr>
      <w:r w:rsidRPr="00D7417F">
        <w:rPr>
          <w:rFonts w:ascii="Times New Roman" w:hAnsi="Times New Roman" w:cs="Times New Roman"/>
          <w:color w:val="000000" w:themeColor="text1"/>
        </w:rPr>
        <w:t xml:space="preserve">PIRES, </w:t>
      </w:r>
      <w:proofErr w:type="spellStart"/>
      <w:r w:rsidRPr="00D7417F">
        <w:rPr>
          <w:rFonts w:ascii="Times New Roman" w:hAnsi="Times New Roman" w:cs="Times New Roman"/>
          <w:color w:val="000000" w:themeColor="text1"/>
        </w:rPr>
        <w:t>Hindenburgo</w:t>
      </w:r>
      <w:proofErr w:type="spellEnd"/>
      <w:r w:rsidR="00D7417F">
        <w:rPr>
          <w:rFonts w:ascii="Times New Roman" w:hAnsi="Times New Roman" w:cs="Times New Roman"/>
          <w:color w:val="000000" w:themeColor="text1"/>
        </w:rPr>
        <w:t xml:space="preserve"> Francisco</w:t>
      </w:r>
      <w:r w:rsidRPr="00D7417F">
        <w:rPr>
          <w:rFonts w:ascii="Times New Roman" w:hAnsi="Times New Roman" w:cs="Times New Roman"/>
          <w:color w:val="000000" w:themeColor="text1"/>
        </w:rPr>
        <w:t xml:space="preserve">. Globalização e Integração Financeira </w:t>
      </w:r>
      <w:r>
        <w:rPr>
          <w:rFonts w:ascii="Times New Roman" w:hAnsi="Times New Roman" w:cs="Times New Roman"/>
        </w:rPr>
        <w:t>e</w:t>
      </w:r>
      <w:r w:rsidRPr="005828ED">
        <w:rPr>
          <w:rFonts w:ascii="Times New Roman" w:hAnsi="Times New Roman" w:cs="Times New Roman"/>
        </w:rPr>
        <w:t xml:space="preserve"> Tecnológica </w:t>
      </w:r>
      <w:r>
        <w:rPr>
          <w:rFonts w:ascii="Times New Roman" w:hAnsi="Times New Roman" w:cs="Times New Roman"/>
        </w:rPr>
        <w:t>e</w:t>
      </w:r>
      <w:r w:rsidRPr="005828ED">
        <w:rPr>
          <w:rFonts w:ascii="Times New Roman" w:hAnsi="Times New Roman" w:cs="Times New Roman"/>
        </w:rPr>
        <w:t xml:space="preserve">ntre </w:t>
      </w:r>
      <w:r>
        <w:rPr>
          <w:rFonts w:ascii="Times New Roman" w:hAnsi="Times New Roman" w:cs="Times New Roman"/>
        </w:rPr>
        <w:t>o</w:t>
      </w:r>
      <w:r w:rsidRPr="005828ED">
        <w:rPr>
          <w:rFonts w:ascii="Times New Roman" w:hAnsi="Times New Roman" w:cs="Times New Roman"/>
        </w:rPr>
        <w:t>s Países Emergentes</w:t>
      </w:r>
      <w:r w:rsidR="002E0384" w:rsidRPr="005828ED">
        <w:rPr>
          <w:rFonts w:ascii="Times New Roman" w:hAnsi="Times New Roman" w:cs="Times New Roman"/>
        </w:rPr>
        <w:t xml:space="preserve">: O Novo Banco </w:t>
      </w:r>
      <w:r w:rsidR="002E0384">
        <w:rPr>
          <w:rFonts w:ascii="Times New Roman" w:hAnsi="Times New Roman" w:cs="Times New Roman"/>
        </w:rPr>
        <w:t>d</w:t>
      </w:r>
      <w:r w:rsidR="002E0384" w:rsidRPr="005828ED">
        <w:rPr>
          <w:rFonts w:ascii="Times New Roman" w:hAnsi="Times New Roman" w:cs="Times New Roman"/>
        </w:rPr>
        <w:t xml:space="preserve">e Desenvolvimento </w:t>
      </w:r>
      <w:r w:rsidR="002E0384">
        <w:rPr>
          <w:rFonts w:ascii="Times New Roman" w:hAnsi="Times New Roman" w:cs="Times New Roman"/>
        </w:rPr>
        <w:t>d</w:t>
      </w:r>
      <w:r w:rsidR="002E0384" w:rsidRPr="005828ED">
        <w:rPr>
          <w:rFonts w:ascii="Times New Roman" w:hAnsi="Times New Roman" w:cs="Times New Roman"/>
        </w:rPr>
        <w:t xml:space="preserve">o </w:t>
      </w:r>
      <w:proofErr w:type="spellStart"/>
      <w:r w:rsidR="002E0384" w:rsidRPr="005828ED">
        <w:rPr>
          <w:rFonts w:ascii="Times New Roman" w:hAnsi="Times New Roman" w:cs="Times New Roman"/>
        </w:rPr>
        <w:t>Brics</w:t>
      </w:r>
      <w:proofErr w:type="spellEnd"/>
      <w:r w:rsidRPr="001D6FF6">
        <w:rPr>
          <w:rFonts w:ascii="Times New Roman" w:hAnsi="Times New Roman" w:cs="Times New Roman"/>
        </w:rPr>
        <w:t xml:space="preserve">. </w:t>
      </w:r>
      <w:proofErr w:type="spellStart"/>
      <w:r w:rsidRPr="001D6FF6">
        <w:rPr>
          <w:rFonts w:ascii="Times New Roman" w:hAnsi="Times New Roman" w:cs="Times New Roman"/>
          <w:b/>
          <w:bCs/>
        </w:rPr>
        <w:t>Geo</w:t>
      </w:r>
      <w:proofErr w:type="spellEnd"/>
      <w:r w:rsidRPr="001D6FF6">
        <w:rPr>
          <w:rFonts w:ascii="Times New Roman" w:hAnsi="Times New Roman" w:cs="Times New Roman"/>
          <w:b/>
          <w:bCs/>
        </w:rPr>
        <w:t xml:space="preserve"> UERJ</w:t>
      </w:r>
      <w:r w:rsidRPr="001D6FF6">
        <w:rPr>
          <w:rFonts w:ascii="Times New Roman" w:hAnsi="Times New Roman" w:cs="Times New Roman"/>
        </w:rPr>
        <w:t>, v. 2, n. 27, 2015.</w:t>
      </w:r>
    </w:p>
    <w:p w14:paraId="2FE91F88" w14:textId="1D0C8945" w:rsidR="002E0384" w:rsidRDefault="002E0384" w:rsidP="001D6FF6">
      <w:pPr>
        <w:pStyle w:val="Standard"/>
        <w:jc w:val="both"/>
        <w:rPr>
          <w:rFonts w:ascii="Times New Roman" w:hAnsi="Times New Roman" w:cs="Times New Roman"/>
        </w:rPr>
      </w:pPr>
    </w:p>
    <w:p w14:paraId="04FAD1A5" w14:textId="22003969" w:rsidR="00756374" w:rsidRDefault="00756374" w:rsidP="001D6FF6">
      <w:pPr>
        <w:pStyle w:val="Standard"/>
        <w:jc w:val="both"/>
        <w:rPr>
          <w:rFonts w:ascii="Times New Roman" w:hAnsi="Times New Roman" w:cs="Times New Roman"/>
        </w:rPr>
      </w:pPr>
      <w:r w:rsidRPr="00756374">
        <w:rPr>
          <w:rFonts w:ascii="Times New Roman" w:hAnsi="Times New Roman" w:cs="Times New Roman"/>
        </w:rPr>
        <w:t xml:space="preserve">RAMOS, Leonardo César Souza et al. Adensamento institucional e </w:t>
      </w:r>
      <w:proofErr w:type="spellStart"/>
      <w:r w:rsidRPr="00756374">
        <w:rPr>
          <w:rFonts w:ascii="Times New Roman" w:hAnsi="Times New Roman" w:cs="Times New Roman"/>
        </w:rPr>
        <w:t>outreach</w:t>
      </w:r>
      <w:proofErr w:type="spellEnd"/>
      <w:r w:rsidRPr="00756374">
        <w:rPr>
          <w:rFonts w:ascii="Times New Roman" w:hAnsi="Times New Roman" w:cs="Times New Roman"/>
        </w:rPr>
        <w:t xml:space="preserve">: um breve balanço do BRICS. </w:t>
      </w:r>
      <w:r w:rsidRPr="001D6FF6">
        <w:rPr>
          <w:rFonts w:ascii="Times New Roman" w:hAnsi="Times New Roman" w:cs="Times New Roman"/>
          <w:b/>
          <w:bCs/>
        </w:rPr>
        <w:t>Carta Internacional</w:t>
      </w:r>
      <w:r w:rsidRPr="00756374">
        <w:rPr>
          <w:rFonts w:ascii="Times New Roman" w:hAnsi="Times New Roman" w:cs="Times New Roman"/>
        </w:rPr>
        <w:t>, v. 13, n. 3, 2018.</w:t>
      </w:r>
    </w:p>
    <w:p w14:paraId="7DA72E5C" w14:textId="77777777" w:rsidR="00A56F07" w:rsidRPr="001D6FF6" w:rsidRDefault="00A56F07">
      <w:pPr>
        <w:pStyle w:val="Standard"/>
        <w:jc w:val="both"/>
        <w:rPr>
          <w:rFonts w:ascii="Times New Roman" w:hAnsi="Times New Roman" w:cs="Times New Roman"/>
        </w:rPr>
      </w:pPr>
    </w:p>
    <w:p w14:paraId="61517A25" w14:textId="0AA6D979" w:rsidR="00D7417F" w:rsidRPr="00A764B6" w:rsidRDefault="00D7417F">
      <w:pPr>
        <w:pStyle w:val="Standard"/>
        <w:jc w:val="both"/>
        <w:rPr>
          <w:rFonts w:ascii="Times New Roman" w:hAnsi="Times New Roman" w:cs="Times New Roman"/>
          <w:color w:val="222222"/>
          <w:shd w:val="clear" w:color="auto" w:fill="FFFFFF"/>
        </w:rPr>
      </w:pPr>
      <w:r w:rsidRPr="00D7417F">
        <w:rPr>
          <w:rFonts w:ascii="Times New Roman" w:hAnsi="Times New Roman" w:cs="Times New Roman"/>
          <w:color w:val="222222"/>
          <w:shd w:val="clear" w:color="auto" w:fill="FFFFFF"/>
        </w:rPr>
        <w:t xml:space="preserve">Ramos, L., Garcia, A., </w:t>
      </w:r>
      <w:proofErr w:type="spellStart"/>
      <w:r w:rsidRPr="00D7417F">
        <w:rPr>
          <w:rFonts w:ascii="Times New Roman" w:hAnsi="Times New Roman" w:cs="Times New Roman"/>
          <w:color w:val="222222"/>
          <w:shd w:val="clear" w:color="auto" w:fill="FFFFFF"/>
        </w:rPr>
        <w:t>Pautasso</w:t>
      </w:r>
      <w:proofErr w:type="spellEnd"/>
      <w:r w:rsidRPr="00D7417F">
        <w:rPr>
          <w:rFonts w:ascii="Times New Roman" w:hAnsi="Times New Roman" w:cs="Times New Roman"/>
          <w:color w:val="222222"/>
          <w:shd w:val="clear" w:color="auto" w:fill="FFFFFF"/>
        </w:rPr>
        <w:t xml:space="preserve">, D., &amp; Rodrigues, F. C. R. </w:t>
      </w:r>
      <w:r w:rsidRPr="00A764B6">
        <w:rPr>
          <w:rFonts w:ascii="Times New Roman" w:hAnsi="Times New Roman" w:cs="Times New Roman"/>
          <w:color w:val="222222"/>
          <w:shd w:val="clear" w:color="auto" w:fill="FFFFFF"/>
        </w:rPr>
        <w:t xml:space="preserve">A </w:t>
      </w:r>
      <w:proofErr w:type="spellStart"/>
      <w:r w:rsidRPr="00A764B6">
        <w:rPr>
          <w:rFonts w:ascii="Times New Roman" w:hAnsi="Times New Roman" w:cs="Times New Roman"/>
          <w:color w:val="222222"/>
          <w:shd w:val="clear" w:color="auto" w:fill="FFFFFF"/>
        </w:rPr>
        <w:t>Decade</w:t>
      </w:r>
      <w:proofErr w:type="spellEnd"/>
      <w:r w:rsidRPr="00A764B6">
        <w:rPr>
          <w:rFonts w:ascii="Times New Roman" w:hAnsi="Times New Roman" w:cs="Times New Roman"/>
          <w:color w:val="222222"/>
          <w:shd w:val="clear" w:color="auto" w:fill="FFFFFF"/>
        </w:rPr>
        <w:t xml:space="preserve"> </w:t>
      </w:r>
      <w:proofErr w:type="spellStart"/>
      <w:r w:rsidRPr="00A764B6">
        <w:rPr>
          <w:rFonts w:ascii="Times New Roman" w:hAnsi="Times New Roman" w:cs="Times New Roman"/>
          <w:color w:val="222222"/>
          <w:shd w:val="clear" w:color="auto" w:fill="FFFFFF"/>
        </w:rPr>
        <w:t>of</w:t>
      </w:r>
      <w:proofErr w:type="spellEnd"/>
      <w:r w:rsidRPr="00A764B6">
        <w:rPr>
          <w:rFonts w:ascii="Times New Roman" w:hAnsi="Times New Roman" w:cs="Times New Roman"/>
          <w:color w:val="222222"/>
          <w:shd w:val="clear" w:color="auto" w:fill="FFFFFF"/>
        </w:rPr>
        <w:t xml:space="preserve"> </w:t>
      </w:r>
      <w:proofErr w:type="spellStart"/>
      <w:r w:rsidRPr="00A764B6">
        <w:rPr>
          <w:rFonts w:ascii="Times New Roman" w:hAnsi="Times New Roman" w:cs="Times New Roman"/>
          <w:color w:val="222222"/>
          <w:shd w:val="clear" w:color="auto" w:fill="FFFFFF"/>
        </w:rPr>
        <w:t>Emergence</w:t>
      </w:r>
      <w:proofErr w:type="spellEnd"/>
      <w:r w:rsidRPr="00A764B6">
        <w:rPr>
          <w:rFonts w:ascii="Times New Roman" w:hAnsi="Times New Roman" w:cs="Times New Roman"/>
          <w:color w:val="222222"/>
          <w:shd w:val="clear" w:color="auto" w:fill="FFFFFF"/>
        </w:rPr>
        <w:t>. </w:t>
      </w:r>
      <w:proofErr w:type="spellStart"/>
      <w:r w:rsidRPr="00A764B6">
        <w:rPr>
          <w:rFonts w:ascii="Times New Roman" w:hAnsi="Times New Roman" w:cs="Times New Roman"/>
          <w:b/>
          <w:iCs/>
          <w:color w:val="222222"/>
          <w:shd w:val="clear" w:color="auto" w:fill="FFFFFF"/>
        </w:rPr>
        <w:t>Journal</w:t>
      </w:r>
      <w:proofErr w:type="spellEnd"/>
      <w:r w:rsidRPr="00A764B6">
        <w:rPr>
          <w:rFonts w:ascii="Times New Roman" w:hAnsi="Times New Roman" w:cs="Times New Roman"/>
          <w:b/>
          <w:iCs/>
          <w:color w:val="222222"/>
          <w:shd w:val="clear" w:color="auto" w:fill="FFFFFF"/>
        </w:rPr>
        <w:t xml:space="preserve"> </w:t>
      </w:r>
      <w:proofErr w:type="spellStart"/>
      <w:r w:rsidRPr="00A764B6">
        <w:rPr>
          <w:rFonts w:ascii="Times New Roman" w:hAnsi="Times New Roman" w:cs="Times New Roman"/>
          <w:b/>
          <w:iCs/>
          <w:color w:val="222222"/>
          <w:shd w:val="clear" w:color="auto" w:fill="FFFFFF"/>
        </w:rPr>
        <w:t>of</w:t>
      </w:r>
      <w:proofErr w:type="spellEnd"/>
      <w:r w:rsidRPr="00A764B6">
        <w:rPr>
          <w:rFonts w:ascii="Times New Roman" w:hAnsi="Times New Roman" w:cs="Times New Roman"/>
          <w:b/>
          <w:iCs/>
          <w:color w:val="222222"/>
          <w:shd w:val="clear" w:color="auto" w:fill="FFFFFF"/>
        </w:rPr>
        <w:t xml:space="preserve"> China </w:t>
      </w:r>
      <w:proofErr w:type="spellStart"/>
      <w:r w:rsidRPr="00A764B6">
        <w:rPr>
          <w:rFonts w:ascii="Times New Roman" w:hAnsi="Times New Roman" w:cs="Times New Roman"/>
          <w:b/>
          <w:iCs/>
          <w:color w:val="222222"/>
          <w:shd w:val="clear" w:color="auto" w:fill="FFFFFF"/>
        </w:rPr>
        <w:t>and</w:t>
      </w:r>
      <w:proofErr w:type="spellEnd"/>
      <w:r w:rsidRPr="00A764B6">
        <w:rPr>
          <w:rFonts w:ascii="Times New Roman" w:hAnsi="Times New Roman" w:cs="Times New Roman"/>
          <w:b/>
          <w:iCs/>
          <w:color w:val="222222"/>
          <w:shd w:val="clear" w:color="auto" w:fill="FFFFFF"/>
        </w:rPr>
        <w:t xml:space="preserve"> </w:t>
      </w:r>
      <w:proofErr w:type="spellStart"/>
      <w:r w:rsidRPr="00A764B6">
        <w:rPr>
          <w:rFonts w:ascii="Times New Roman" w:hAnsi="Times New Roman" w:cs="Times New Roman"/>
          <w:b/>
          <w:iCs/>
          <w:color w:val="222222"/>
          <w:shd w:val="clear" w:color="auto" w:fill="FFFFFF"/>
        </w:rPr>
        <w:t>International</w:t>
      </w:r>
      <w:proofErr w:type="spellEnd"/>
      <w:r w:rsidRPr="00A764B6">
        <w:rPr>
          <w:rFonts w:ascii="Times New Roman" w:hAnsi="Times New Roman" w:cs="Times New Roman"/>
          <w:b/>
          <w:iCs/>
          <w:color w:val="222222"/>
          <w:shd w:val="clear" w:color="auto" w:fill="FFFFFF"/>
        </w:rPr>
        <w:t xml:space="preserve"> </w:t>
      </w:r>
      <w:proofErr w:type="spellStart"/>
      <w:r w:rsidRPr="00A764B6">
        <w:rPr>
          <w:rFonts w:ascii="Times New Roman" w:hAnsi="Times New Roman" w:cs="Times New Roman"/>
          <w:b/>
          <w:iCs/>
          <w:color w:val="222222"/>
          <w:shd w:val="clear" w:color="auto" w:fill="FFFFFF"/>
        </w:rPr>
        <w:t>Relations</w:t>
      </w:r>
      <w:proofErr w:type="spellEnd"/>
      <w:r w:rsidR="00A764B6" w:rsidRPr="00A764B6">
        <w:rPr>
          <w:rFonts w:ascii="Times New Roman" w:hAnsi="Times New Roman" w:cs="Times New Roman"/>
          <w:color w:val="222222"/>
          <w:shd w:val="clear" w:color="auto" w:fill="FFFFFF"/>
        </w:rPr>
        <w:t>, 1-15, 2018.</w:t>
      </w:r>
    </w:p>
    <w:p w14:paraId="2535EB27" w14:textId="77777777" w:rsidR="00D7417F" w:rsidRPr="00A764B6" w:rsidRDefault="00D7417F">
      <w:pPr>
        <w:pStyle w:val="Standard"/>
        <w:jc w:val="both"/>
        <w:rPr>
          <w:rFonts w:ascii="Times New Roman" w:hAnsi="Times New Roman" w:cs="Times New Roman"/>
        </w:rPr>
      </w:pPr>
    </w:p>
    <w:p w14:paraId="54A16597" w14:textId="4493DF23"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 xml:space="preserve">SINGER, David Andrew. </w:t>
      </w:r>
      <w:r w:rsidRPr="00CD4840">
        <w:rPr>
          <w:rFonts w:ascii="Times New Roman" w:hAnsi="Times New Roman" w:cs="Times New Roman"/>
          <w:b/>
          <w:bCs/>
          <w:lang w:val="en-US"/>
        </w:rPr>
        <w:t>Regulating capital: Setting standards for the international financial system</w:t>
      </w:r>
      <w:r w:rsidRPr="00CD4840">
        <w:rPr>
          <w:rFonts w:ascii="Times New Roman" w:hAnsi="Times New Roman" w:cs="Times New Roman"/>
          <w:lang w:val="en-US"/>
        </w:rPr>
        <w:t xml:space="preserve">. </w:t>
      </w:r>
      <w:proofErr w:type="gramStart"/>
      <w:r w:rsidRPr="00CD4840">
        <w:rPr>
          <w:rFonts w:ascii="Times New Roman" w:hAnsi="Times New Roman" w:cs="Times New Roman"/>
          <w:lang w:val="en-US"/>
        </w:rPr>
        <w:t>Cornell University Press, 2007.</w:t>
      </w:r>
      <w:proofErr w:type="gramEnd"/>
    </w:p>
    <w:p w14:paraId="4EC326F9" w14:textId="77777777" w:rsidR="00F37D16" w:rsidRPr="00CD4840" w:rsidRDefault="00F37D16">
      <w:pPr>
        <w:pStyle w:val="Standard"/>
        <w:jc w:val="both"/>
        <w:rPr>
          <w:rFonts w:ascii="Times New Roman" w:hAnsi="Times New Roman" w:cs="Times New Roman"/>
          <w:lang w:val="en-US"/>
        </w:rPr>
      </w:pPr>
    </w:p>
    <w:p w14:paraId="2FBB057C" w14:textId="77777777" w:rsidR="00F37D16" w:rsidRPr="00CD4840" w:rsidRDefault="00F77C53">
      <w:pPr>
        <w:pStyle w:val="Standard"/>
        <w:jc w:val="both"/>
        <w:rPr>
          <w:rFonts w:ascii="Times New Roman" w:hAnsi="Times New Roman" w:cs="Times New Roman"/>
          <w:lang w:val="en-US"/>
        </w:rPr>
      </w:pPr>
      <w:r w:rsidRPr="00CD4840">
        <w:rPr>
          <w:rFonts w:ascii="Times New Roman" w:hAnsi="Times New Roman" w:cs="Times New Roman"/>
          <w:lang w:val="en-US"/>
        </w:rPr>
        <w:t xml:space="preserve">STUENKEL, Oliver. </w:t>
      </w:r>
      <w:r w:rsidRPr="00CD4840">
        <w:rPr>
          <w:rFonts w:ascii="Times New Roman" w:hAnsi="Times New Roman" w:cs="Times New Roman"/>
          <w:b/>
          <w:bCs/>
          <w:lang w:val="en-US"/>
        </w:rPr>
        <w:t xml:space="preserve">Post-Western world: How emerging powers are remaking global order. </w:t>
      </w:r>
      <w:proofErr w:type="gramStart"/>
      <w:r w:rsidRPr="00CD4840">
        <w:rPr>
          <w:rFonts w:ascii="Times New Roman" w:hAnsi="Times New Roman" w:cs="Times New Roman"/>
          <w:lang w:val="en-US"/>
        </w:rPr>
        <w:t>John Wiley &amp; Sons, 2017.</w:t>
      </w:r>
      <w:proofErr w:type="gramEnd"/>
    </w:p>
    <w:p w14:paraId="34CE3685" w14:textId="1FC4EDC7" w:rsidR="00F37D16" w:rsidRDefault="00F37D16">
      <w:pPr>
        <w:pStyle w:val="Standard"/>
        <w:jc w:val="both"/>
        <w:rPr>
          <w:rFonts w:ascii="Times New Roman" w:hAnsi="Times New Roman" w:cs="Times New Roman"/>
          <w:lang w:val="en-US"/>
        </w:rPr>
      </w:pPr>
    </w:p>
    <w:p w14:paraId="7538EBF6" w14:textId="77777777" w:rsidR="00563DBD" w:rsidRPr="001D6FF6" w:rsidRDefault="00563DBD" w:rsidP="00563DBD">
      <w:pPr>
        <w:pStyle w:val="Standard"/>
        <w:jc w:val="both"/>
        <w:rPr>
          <w:rFonts w:ascii="Times New Roman" w:hAnsi="Times New Roman" w:cs="Times New Roman"/>
          <w:lang w:val="en-US"/>
        </w:rPr>
      </w:pPr>
      <w:proofErr w:type="gramStart"/>
      <w:r w:rsidRPr="00D42DF3">
        <w:rPr>
          <w:rFonts w:ascii="Times New Roman" w:hAnsi="Times New Roman" w:cs="Times New Roman"/>
          <w:lang w:val="en-US"/>
        </w:rPr>
        <w:t>UNITED NATIONS CONFERENCE ON TRADE AND DEVELOPMENT</w:t>
      </w:r>
      <w:r>
        <w:rPr>
          <w:rFonts w:ascii="Times New Roman" w:hAnsi="Times New Roman" w:cs="Times New Roman"/>
          <w:lang w:val="en-US"/>
        </w:rPr>
        <w:t xml:space="preserve"> (UNCTAD).</w:t>
      </w:r>
      <w:proofErr w:type="gramEnd"/>
      <w:r>
        <w:rPr>
          <w:rFonts w:ascii="Times New Roman" w:hAnsi="Times New Roman" w:cs="Times New Roman"/>
          <w:lang w:val="en-US"/>
        </w:rPr>
        <w:t xml:space="preserve"> </w:t>
      </w:r>
      <w:r w:rsidRPr="00563DBD">
        <w:rPr>
          <w:rFonts w:ascii="Times New Roman" w:hAnsi="Times New Roman" w:cs="Times New Roman"/>
          <w:b/>
          <w:bCs/>
          <w:lang w:val="en-US"/>
        </w:rPr>
        <w:t>Trade and Development Report</w:t>
      </w:r>
      <w:r>
        <w:rPr>
          <w:rFonts w:ascii="Times New Roman" w:hAnsi="Times New Roman" w:cs="Times New Roman"/>
          <w:lang w:val="en-US"/>
        </w:rPr>
        <w:t xml:space="preserve">: Financing a global green new deal. </w:t>
      </w:r>
      <w:r w:rsidRPr="00822F6B">
        <w:rPr>
          <w:rFonts w:ascii="Times New Roman" w:hAnsi="Times New Roman" w:cs="Times New Roman"/>
        </w:rPr>
        <w:t xml:space="preserve">UN, 2019. Disponível em: </w:t>
      </w:r>
      <w:r>
        <w:rPr>
          <w:rFonts w:ascii="Times New Roman" w:hAnsi="Times New Roman" w:cs="Times New Roman"/>
        </w:rPr>
        <w:t>&lt;</w:t>
      </w:r>
      <w:r w:rsidRPr="00822F6B">
        <w:rPr>
          <w:rFonts w:ascii="Times New Roman" w:hAnsi="Times New Roman" w:cs="Times New Roman"/>
        </w:rPr>
        <w:t>https://unctad.org/en/Pages/Publications/TradeandDevelopmentReport.aspx</w:t>
      </w:r>
      <w:r>
        <w:rPr>
          <w:rFonts w:ascii="Times New Roman" w:hAnsi="Times New Roman" w:cs="Times New Roman"/>
        </w:rPr>
        <w:t xml:space="preserve">&gt;. </w:t>
      </w:r>
      <w:proofErr w:type="spellStart"/>
      <w:r w:rsidRPr="001D6FF6">
        <w:rPr>
          <w:rFonts w:ascii="Times New Roman" w:hAnsi="Times New Roman" w:cs="Times New Roman"/>
          <w:lang w:val="en-US"/>
        </w:rPr>
        <w:t>Acesso</w:t>
      </w:r>
      <w:proofErr w:type="spellEnd"/>
      <w:r w:rsidRPr="001D6FF6">
        <w:rPr>
          <w:rFonts w:ascii="Times New Roman" w:hAnsi="Times New Roman" w:cs="Times New Roman"/>
          <w:lang w:val="en-US"/>
        </w:rPr>
        <w:t xml:space="preserve"> </w:t>
      </w:r>
      <w:proofErr w:type="spellStart"/>
      <w:r w:rsidRPr="001D6FF6">
        <w:rPr>
          <w:rFonts w:ascii="Times New Roman" w:hAnsi="Times New Roman" w:cs="Times New Roman"/>
          <w:lang w:val="en-US"/>
        </w:rPr>
        <w:t>em</w:t>
      </w:r>
      <w:proofErr w:type="spellEnd"/>
      <w:r w:rsidRPr="001D6FF6">
        <w:rPr>
          <w:rFonts w:ascii="Times New Roman" w:hAnsi="Times New Roman" w:cs="Times New Roman"/>
          <w:lang w:val="en-US"/>
        </w:rPr>
        <w:t>: 14 set. 2019.</w:t>
      </w:r>
    </w:p>
    <w:p w14:paraId="60E2BB51" w14:textId="77777777" w:rsidR="00563DBD" w:rsidRPr="00CD4840" w:rsidRDefault="00563DBD">
      <w:pPr>
        <w:pStyle w:val="Standard"/>
        <w:jc w:val="both"/>
        <w:rPr>
          <w:rFonts w:ascii="Times New Roman" w:hAnsi="Times New Roman" w:cs="Times New Roman"/>
          <w:lang w:val="en-US"/>
        </w:rPr>
      </w:pPr>
    </w:p>
    <w:p w14:paraId="660E694D" w14:textId="251BFED9" w:rsidR="00F37D16" w:rsidRPr="001D6FF6" w:rsidRDefault="00F77C53">
      <w:pPr>
        <w:pStyle w:val="Standard"/>
        <w:jc w:val="both"/>
        <w:rPr>
          <w:rFonts w:ascii="Times New Roman" w:hAnsi="Times New Roman" w:cs="Times New Roman"/>
        </w:rPr>
      </w:pPr>
      <w:r w:rsidRPr="00CD4840">
        <w:rPr>
          <w:rFonts w:ascii="Times New Roman" w:hAnsi="Times New Roman" w:cs="Times New Roman"/>
          <w:lang w:val="en-US"/>
        </w:rPr>
        <w:t xml:space="preserve">ZÜRN, Michael. </w:t>
      </w:r>
      <w:r w:rsidRPr="00CD4840">
        <w:rPr>
          <w:rFonts w:ascii="Times New Roman" w:hAnsi="Times New Roman" w:cs="Times New Roman"/>
          <w:b/>
          <w:bCs/>
          <w:lang w:val="en-US"/>
        </w:rPr>
        <w:t>A theory of global governance: Authority, legitimacy, and contestation.</w:t>
      </w:r>
      <w:r w:rsidRPr="00CD4840">
        <w:rPr>
          <w:rFonts w:ascii="Times New Roman" w:hAnsi="Times New Roman" w:cs="Times New Roman"/>
          <w:lang w:val="en-US"/>
        </w:rPr>
        <w:t xml:space="preserve"> </w:t>
      </w:r>
      <w:r w:rsidRPr="00CD4840">
        <w:rPr>
          <w:rFonts w:ascii="Times New Roman" w:hAnsi="Times New Roman" w:cs="Times New Roman"/>
        </w:rPr>
        <w:t xml:space="preserve">Oxford </w:t>
      </w:r>
      <w:proofErr w:type="spellStart"/>
      <w:r w:rsidRPr="00CD4840">
        <w:rPr>
          <w:rFonts w:ascii="Times New Roman" w:hAnsi="Times New Roman" w:cs="Times New Roman"/>
        </w:rPr>
        <w:t>University</w:t>
      </w:r>
      <w:proofErr w:type="spellEnd"/>
      <w:r w:rsidRPr="00CD4840">
        <w:rPr>
          <w:rFonts w:ascii="Times New Roman" w:hAnsi="Times New Roman" w:cs="Times New Roman"/>
        </w:rPr>
        <w:t xml:space="preserve"> Press, 2018. </w:t>
      </w:r>
      <w:r w:rsidRPr="001D6FF6">
        <w:rPr>
          <w:rFonts w:ascii="Times New Roman" w:hAnsi="Times New Roman" w:cs="Times New Roman"/>
        </w:rPr>
        <w:t xml:space="preserve">Disponível em: </w:t>
      </w:r>
      <w:r w:rsidR="00C43FDB" w:rsidRPr="001D6FF6">
        <w:rPr>
          <w:rFonts w:ascii="Times New Roman" w:hAnsi="Times New Roman" w:cs="Times New Roman"/>
        </w:rPr>
        <w:t>&lt;</w:t>
      </w:r>
      <w:r w:rsidRPr="001D6FF6">
        <w:rPr>
          <w:rFonts w:ascii="Times New Roman" w:hAnsi="Times New Roman" w:cs="Times New Roman"/>
        </w:rPr>
        <w:t>https://bit.ly/2WiTVBq</w:t>
      </w:r>
      <w:r w:rsidR="00C43FDB" w:rsidRPr="001D6FF6">
        <w:rPr>
          <w:rFonts w:ascii="Times New Roman" w:hAnsi="Times New Roman" w:cs="Times New Roman"/>
        </w:rPr>
        <w:t>&gt;.</w:t>
      </w:r>
      <w:r w:rsidRPr="001D6FF6">
        <w:rPr>
          <w:rFonts w:ascii="Times New Roman" w:hAnsi="Times New Roman" w:cs="Times New Roman"/>
        </w:rPr>
        <w:t xml:space="preserve"> </w:t>
      </w:r>
      <w:r w:rsidR="00C43FDB" w:rsidRPr="001D6FF6">
        <w:rPr>
          <w:rFonts w:ascii="Times New Roman" w:hAnsi="Times New Roman" w:cs="Times New Roman"/>
        </w:rPr>
        <w:t>Acesso</w:t>
      </w:r>
      <w:r w:rsidRPr="001D6FF6">
        <w:rPr>
          <w:rFonts w:ascii="Times New Roman" w:hAnsi="Times New Roman" w:cs="Times New Roman"/>
        </w:rPr>
        <w:t xml:space="preserve"> em</w:t>
      </w:r>
      <w:r w:rsidR="00C43FDB" w:rsidRPr="001D6FF6">
        <w:rPr>
          <w:rFonts w:ascii="Times New Roman" w:hAnsi="Times New Roman" w:cs="Times New Roman"/>
        </w:rPr>
        <w:t>:</w:t>
      </w:r>
      <w:r w:rsidRPr="001D6FF6">
        <w:rPr>
          <w:rFonts w:ascii="Times New Roman" w:hAnsi="Times New Roman" w:cs="Times New Roman"/>
        </w:rPr>
        <w:t xml:space="preserve"> 22 out</w:t>
      </w:r>
      <w:r w:rsidR="00C43FDB" w:rsidRPr="001D6FF6">
        <w:rPr>
          <w:rFonts w:ascii="Times New Roman" w:hAnsi="Times New Roman" w:cs="Times New Roman"/>
        </w:rPr>
        <w:t xml:space="preserve">. </w:t>
      </w:r>
      <w:r w:rsidRPr="001D6FF6">
        <w:rPr>
          <w:rFonts w:ascii="Times New Roman" w:hAnsi="Times New Roman" w:cs="Times New Roman"/>
        </w:rPr>
        <w:t>2019.</w:t>
      </w:r>
    </w:p>
    <w:p w14:paraId="3E0C8B20" w14:textId="78AA740D" w:rsidR="00D42DF3" w:rsidRPr="001D6FF6" w:rsidRDefault="00D42DF3">
      <w:pPr>
        <w:pStyle w:val="Standard"/>
        <w:jc w:val="both"/>
        <w:rPr>
          <w:rFonts w:ascii="Times New Roman" w:hAnsi="Times New Roman" w:cs="Times New Roman"/>
        </w:rPr>
      </w:pPr>
    </w:p>
    <w:p w14:paraId="3E33119B" w14:textId="37F16F79" w:rsidR="008E3D86" w:rsidRPr="003360CA" w:rsidRDefault="008E3D86">
      <w:pPr>
        <w:pStyle w:val="Standard"/>
        <w:jc w:val="both"/>
        <w:rPr>
          <w:rFonts w:ascii="Times New Roman" w:hAnsi="Times New Roman" w:cs="Times New Roman"/>
          <w:lang w:val="en-US"/>
        </w:rPr>
      </w:pPr>
      <w:r w:rsidRPr="003360CA">
        <w:rPr>
          <w:rFonts w:ascii="Times New Roman" w:hAnsi="Times New Roman" w:cs="Times New Roman"/>
          <w:lang w:val="en-US"/>
        </w:rPr>
        <w:t xml:space="preserve">WANG, </w:t>
      </w:r>
      <w:proofErr w:type="spellStart"/>
      <w:r w:rsidRPr="003360CA">
        <w:rPr>
          <w:rFonts w:ascii="Times New Roman" w:hAnsi="Times New Roman" w:cs="Times New Roman"/>
          <w:lang w:val="en-US"/>
        </w:rPr>
        <w:t>Hongying</w:t>
      </w:r>
      <w:proofErr w:type="spellEnd"/>
      <w:r w:rsidRPr="003360CA">
        <w:rPr>
          <w:rFonts w:ascii="Times New Roman" w:hAnsi="Times New Roman" w:cs="Times New Roman"/>
          <w:lang w:val="en-US"/>
        </w:rPr>
        <w:t xml:space="preserve">. The New Development Bank and the Asian Infrastructure Investment Bank: China's Ambiguous Approach to Global Financial Governance. </w:t>
      </w:r>
      <w:proofErr w:type="gramStart"/>
      <w:r w:rsidRPr="003360CA">
        <w:rPr>
          <w:rFonts w:ascii="Times New Roman" w:hAnsi="Times New Roman" w:cs="Times New Roman"/>
          <w:b/>
          <w:bCs/>
          <w:lang w:val="en-US"/>
        </w:rPr>
        <w:t>Development and Change</w:t>
      </w:r>
      <w:r w:rsidRPr="003360CA">
        <w:rPr>
          <w:rFonts w:ascii="Times New Roman" w:hAnsi="Times New Roman" w:cs="Times New Roman"/>
          <w:lang w:val="en-US"/>
        </w:rPr>
        <w:t>, v. 50, n. 1, p. 221-244, 2019.</w:t>
      </w:r>
      <w:proofErr w:type="gramEnd"/>
      <w:sdt>
        <w:sdtPr>
          <w:rPr>
            <w:rFonts w:ascii="Times New Roman" w:hAnsi="Times New Roman" w:cs="Times New Roman"/>
            <w:lang w:val="en-US"/>
          </w:rPr>
          <w:id w:val="-474912096"/>
          <w:citation/>
        </w:sdtPr>
        <w:sdtEndPr/>
        <w:sdtContent>
          <w:r w:rsidRPr="000A3A9E">
            <w:rPr>
              <w:rFonts w:ascii="Times New Roman" w:hAnsi="Times New Roman" w:cs="Times New Roman"/>
              <w:lang w:val="en-US"/>
            </w:rPr>
            <w:fldChar w:fldCharType="begin"/>
          </w:r>
          <w:r w:rsidRPr="001D6FF6">
            <w:rPr>
              <w:rFonts w:ascii="Times New Roman" w:hAnsi="Times New Roman" w:cs="Times New Roman"/>
              <w:lang w:val="en-US"/>
            </w:rPr>
            <w:instrText xml:space="preserve"> CITATION Wan19 \l 1046 </w:instrText>
          </w:r>
          <w:r w:rsidRPr="000A3A9E">
            <w:rPr>
              <w:rFonts w:ascii="Times New Roman" w:hAnsi="Times New Roman" w:cs="Times New Roman"/>
              <w:lang w:val="en-US"/>
            </w:rPr>
            <w:fldChar w:fldCharType="separate"/>
          </w:r>
          <w:r w:rsidRPr="001D6FF6">
            <w:rPr>
              <w:rFonts w:ascii="Times New Roman" w:hAnsi="Times New Roman" w:cs="Times New Roman"/>
              <w:noProof/>
              <w:lang w:val="en-US"/>
            </w:rPr>
            <w:t xml:space="preserve"> (Wang, 2019)</w:t>
          </w:r>
          <w:r w:rsidRPr="000A3A9E">
            <w:rPr>
              <w:rFonts w:ascii="Times New Roman" w:hAnsi="Times New Roman" w:cs="Times New Roman"/>
              <w:lang w:val="en-US"/>
            </w:rPr>
            <w:fldChar w:fldCharType="end"/>
          </w:r>
        </w:sdtContent>
      </w:sdt>
    </w:p>
    <w:p w14:paraId="63ACE21B" w14:textId="77777777" w:rsidR="00F37D16" w:rsidRPr="001D6FF6" w:rsidRDefault="00F37D16">
      <w:pPr>
        <w:pStyle w:val="Standard"/>
        <w:jc w:val="both"/>
        <w:rPr>
          <w:rFonts w:ascii="Times New Roman" w:hAnsi="Times New Roman" w:cs="Times New Roman"/>
          <w:color w:val="FF0000"/>
          <w:lang w:val="en-US"/>
        </w:rPr>
      </w:pPr>
    </w:p>
    <w:p w14:paraId="5400C9D4" w14:textId="756AE339" w:rsidR="00041383" w:rsidRPr="001D6FF6" w:rsidRDefault="003471C3" w:rsidP="001D6FF6">
      <w:pPr>
        <w:pStyle w:val="Standard"/>
        <w:jc w:val="both"/>
        <w:rPr>
          <w:rFonts w:ascii="Times New Roman" w:hAnsi="Times New Roman" w:cs="Times New Roman"/>
        </w:rPr>
      </w:pPr>
      <w:r w:rsidRPr="008D0C22">
        <w:rPr>
          <w:rFonts w:ascii="Times New Roman" w:hAnsi="Times New Roman" w:cs="Times New Roman"/>
          <w:lang w:val="en-US"/>
        </w:rPr>
        <w:t>WORLD BANK GROUP</w:t>
      </w:r>
      <w:r>
        <w:rPr>
          <w:rFonts w:ascii="Times New Roman" w:hAnsi="Times New Roman" w:cs="Times New Roman"/>
          <w:lang w:val="en-US"/>
        </w:rPr>
        <w:t xml:space="preserve"> </w:t>
      </w:r>
      <w:r w:rsidR="00C7284C">
        <w:rPr>
          <w:rFonts w:ascii="Times New Roman" w:hAnsi="Times New Roman" w:cs="Times New Roman"/>
          <w:lang w:val="en-US"/>
        </w:rPr>
        <w:t>(WBG)</w:t>
      </w:r>
      <w:r w:rsidR="00E166E0">
        <w:rPr>
          <w:rFonts w:ascii="Times New Roman" w:hAnsi="Times New Roman" w:cs="Times New Roman"/>
          <w:lang w:val="en-US"/>
        </w:rPr>
        <w:t xml:space="preserve">. </w:t>
      </w:r>
      <w:r w:rsidR="00041383" w:rsidRPr="001D6FF6">
        <w:rPr>
          <w:rFonts w:ascii="Times New Roman" w:hAnsi="Times New Roman" w:cs="Times New Roman"/>
          <w:b/>
          <w:bCs/>
          <w:lang w:val="en-US"/>
        </w:rPr>
        <w:t>A Stronger, Connected, Solutions World Bank Group</w:t>
      </w:r>
      <w:r w:rsidR="005D2D54">
        <w:rPr>
          <w:rFonts w:ascii="Times New Roman" w:hAnsi="Times New Roman" w:cs="Times New Roman"/>
          <w:lang w:val="en-US"/>
        </w:rPr>
        <w:t>.</w:t>
      </w:r>
      <w:r w:rsidR="00041383" w:rsidRPr="001D6FF6">
        <w:rPr>
          <w:rFonts w:ascii="Times New Roman" w:hAnsi="Times New Roman" w:cs="Times New Roman"/>
          <w:lang w:val="en-US"/>
        </w:rPr>
        <w:t xml:space="preserve"> </w:t>
      </w:r>
      <w:proofErr w:type="gramStart"/>
      <w:r w:rsidR="00041383" w:rsidRPr="001D6FF6">
        <w:rPr>
          <w:rFonts w:ascii="Times New Roman" w:hAnsi="Times New Roman" w:cs="Times New Roman"/>
          <w:lang w:val="en-US"/>
        </w:rPr>
        <w:t>An Overview of the World Bank Group Strategy.</w:t>
      </w:r>
      <w:proofErr w:type="gramEnd"/>
      <w:r>
        <w:rPr>
          <w:rFonts w:ascii="Times New Roman" w:hAnsi="Times New Roman" w:cs="Times New Roman"/>
          <w:lang w:val="en-US"/>
        </w:rPr>
        <w:t xml:space="preserve"> 2013. </w:t>
      </w:r>
      <w:r w:rsidR="00041383" w:rsidRPr="001D6FF6">
        <w:rPr>
          <w:rFonts w:ascii="Times New Roman" w:hAnsi="Times New Roman" w:cs="Times New Roman"/>
          <w:lang w:val="en-US"/>
        </w:rPr>
        <w:t>Washington,</w:t>
      </w:r>
      <w:r>
        <w:rPr>
          <w:rFonts w:ascii="Times New Roman" w:hAnsi="Times New Roman" w:cs="Times New Roman"/>
          <w:lang w:val="en-US"/>
        </w:rPr>
        <w:t xml:space="preserve"> </w:t>
      </w:r>
      <w:r w:rsidR="00041383" w:rsidRPr="001D6FF6">
        <w:rPr>
          <w:rFonts w:ascii="Times New Roman" w:hAnsi="Times New Roman" w:cs="Times New Roman"/>
          <w:lang w:val="en-US"/>
        </w:rPr>
        <w:t xml:space="preserve">DC. </w:t>
      </w:r>
      <w:r w:rsidRPr="001D6FF6">
        <w:rPr>
          <w:rFonts w:ascii="Times New Roman" w:hAnsi="Times New Roman" w:cs="Times New Roman"/>
        </w:rPr>
        <w:t>Disponível em: &lt;</w:t>
      </w:r>
      <w:r w:rsidR="00041383" w:rsidRPr="001D6FF6">
        <w:rPr>
          <w:rFonts w:ascii="Times New Roman" w:hAnsi="Times New Roman" w:cs="Times New Roman"/>
        </w:rPr>
        <w:t>https://openknowledge.worldbank.org/handle/10986/16093</w:t>
      </w:r>
      <w:r w:rsidRPr="001D6FF6">
        <w:rPr>
          <w:rFonts w:ascii="Times New Roman" w:hAnsi="Times New Roman" w:cs="Times New Roman"/>
        </w:rPr>
        <w:t xml:space="preserve">&gt;. Acesso em </w:t>
      </w:r>
      <w:r w:rsidR="002F28EA" w:rsidRPr="001D6FF6">
        <w:rPr>
          <w:rFonts w:ascii="Times New Roman" w:hAnsi="Times New Roman" w:cs="Times New Roman"/>
        </w:rPr>
        <w:t>20 s</w:t>
      </w:r>
      <w:r w:rsidR="002F28EA">
        <w:rPr>
          <w:rFonts w:ascii="Times New Roman" w:hAnsi="Times New Roman" w:cs="Times New Roman"/>
        </w:rPr>
        <w:t>et. 2019.</w:t>
      </w:r>
    </w:p>
    <w:p w14:paraId="13CAF0C2" w14:textId="77777777" w:rsidR="00F37D16" w:rsidRPr="008D0C22" w:rsidRDefault="00F37D16">
      <w:pPr>
        <w:pStyle w:val="Standard"/>
        <w:jc w:val="both"/>
        <w:rPr>
          <w:rFonts w:ascii="Times New Roman" w:hAnsi="Times New Roman" w:cs="Times New Roman"/>
        </w:rPr>
      </w:pPr>
    </w:p>
    <w:p w14:paraId="1964ABDA" w14:textId="77777777" w:rsidR="00F37D16" w:rsidRPr="002F28EA" w:rsidRDefault="00F37D16">
      <w:pPr>
        <w:pStyle w:val="Standard"/>
        <w:jc w:val="both"/>
        <w:rPr>
          <w:rFonts w:ascii="Times New Roman" w:hAnsi="Times New Roman" w:cs="Times New Roman"/>
        </w:rPr>
      </w:pPr>
    </w:p>
    <w:sectPr w:rsidR="00F37D16" w:rsidRPr="002F28EA" w:rsidSect="00787470">
      <w:headerReference w:type="default" r:id="rId13"/>
      <w:footerReference w:type="default" r:id="rId14"/>
      <w:headerReference w:type="first" r:id="rId15"/>
      <w:footerReference w:type="first" r:id="rId16"/>
      <w:pgSz w:w="11906" w:h="16838"/>
      <w:pgMar w:top="1701" w:right="1134" w:bottom="1134" w:left="1701"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DDC2E2" w16cid:durableId="216AF114"/>
  <w16cid:commentId w16cid:paraId="66AE6A9F" w16cid:durableId="216FDC6C"/>
  <w16cid:commentId w16cid:paraId="1E73D583" w16cid:durableId="216AF115"/>
  <w16cid:commentId w16cid:paraId="5CD2C4AD" w16cid:durableId="216AF116"/>
  <w16cid:commentId w16cid:paraId="39B64108" w16cid:durableId="216DA210"/>
  <w16cid:commentId w16cid:paraId="1CD002A2" w16cid:durableId="216FC02B"/>
  <w16cid:commentId w16cid:paraId="0905F1E9" w16cid:durableId="216B4FCC"/>
  <w16cid:commentId w16cid:paraId="48030E9C" w16cid:durableId="216D6C30"/>
  <w16cid:commentId w16cid:paraId="42807235" w16cid:durableId="216B4F53"/>
  <w16cid:commentId w16cid:paraId="50273D17" w16cid:durableId="216C8DEB"/>
  <w16cid:commentId w16cid:paraId="0BC3CBAD" w16cid:durableId="216B4751"/>
  <w16cid:commentId w16cid:paraId="5FC8C58F" w16cid:durableId="216B0A8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2D19B" w14:textId="77777777" w:rsidR="00F05E59" w:rsidRDefault="00F05E59">
      <w:r>
        <w:separator/>
      </w:r>
    </w:p>
  </w:endnote>
  <w:endnote w:type="continuationSeparator" w:id="0">
    <w:p w14:paraId="5F78B0B7" w14:textId="77777777" w:rsidR="00F05E59" w:rsidRDefault="00F0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charset w:val="86"/>
    <w:family w:val="swiss"/>
    <w:pitch w:val="variable"/>
    <w:sig w:usb0="80000287" w:usb1="2ACF3C50" w:usb2="00000016" w:usb3="00000000" w:csb0="0004001F" w:csb1="00000000"/>
  </w:font>
  <w:font w:name="Liberation Mono">
    <w:altName w:val="Courier New"/>
    <w:charset w:val="00"/>
    <w:family w:val="modern"/>
    <w:pitch w:val="fixed"/>
    <w:sig w:usb0="00000000" w:usb1="400078FF" w:usb2="00000001" w:usb3="00000000" w:csb0="000001BF" w:csb1="00000000"/>
  </w:font>
  <w:font w:name="NSimSun">
    <w:charset w:val="86"/>
    <w:family w:val="modern"/>
    <w:pitch w:val="fixed"/>
    <w:sig w:usb0="00000283" w:usb1="288F0000" w:usb2="00000016" w:usb3="00000000" w:csb0="00040001" w:csb1="00000000"/>
  </w:font>
  <w:font w:name="OpenSymbol">
    <w:charset w:val="00"/>
    <w:family w:val="auto"/>
    <w:pitch w:val="variable"/>
    <w:sig w:usb0="800000AF" w:usb1="1001ECEA"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9D14D" w14:textId="4209C99E" w:rsidR="007038A7" w:rsidRDefault="007038A7">
    <w:pPr>
      <w:pStyle w:val="Footer"/>
      <w:jc w:val="right"/>
    </w:pPr>
  </w:p>
  <w:p w14:paraId="35FF1E7D" w14:textId="2DA7C167" w:rsidR="004037FD" w:rsidRPr="00C2601A" w:rsidRDefault="00C2601A" w:rsidP="00C2601A">
    <w:pPr>
      <w:jc w:val="center"/>
      <w:rPr>
        <w:sz w:val="20"/>
        <w:szCs w:val="20"/>
        <w:u w:val="single"/>
      </w:rPr>
    </w:pPr>
    <w:r w:rsidRPr="005148EA">
      <w:rPr>
        <w:rFonts w:eastAsia="Times New Roman"/>
        <w:sz w:val="20"/>
        <w:szCs w:val="20"/>
      </w:rPr>
      <w:t>Boletim do Tempo Presente, Recife-PE, v. 08</w:t>
    </w:r>
    <w:r>
      <w:rPr>
        <w:rFonts w:eastAsia="Times New Roman"/>
        <w:sz w:val="20"/>
        <w:szCs w:val="20"/>
      </w:rPr>
      <w:t>, n. 04</w:t>
    </w:r>
    <w:r w:rsidRPr="005148EA">
      <w:rPr>
        <w:rFonts w:eastAsia="Times New Roman"/>
        <w:sz w:val="20"/>
        <w:szCs w:val="20"/>
      </w:rPr>
      <w:t xml:space="preserve">, p. </w:t>
    </w:r>
    <w:r w:rsidR="000E679C">
      <w:rPr>
        <w:rFonts w:eastAsia="Times New Roman"/>
        <w:sz w:val="20"/>
        <w:szCs w:val="20"/>
      </w:rPr>
      <w:t>59</w:t>
    </w:r>
    <w:r w:rsidR="000E679C" w:rsidRPr="005148EA">
      <w:rPr>
        <w:rFonts w:eastAsia="Times New Roman"/>
        <w:sz w:val="20"/>
        <w:szCs w:val="20"/>
      </w:rPr>
      <w:t>-</w:t>
    </w:r>
    <w:r w:rsidR="000E679C">
      <w:rPr>
        <w:rFonts w:eastAsia="Times New Roman"/>
        <w:sz w:val="20"/>
        <w:szCs w:val="20"/>
      </w:rPr>
      <w:t>74</w:t>
    </w:r>
    <w:r w:rsidRPr="005148EA">
      <w:rPr>
        <w:rFonts w:eastAsia="Times New Roman"/>
        <w:sz w:val="20"/>
        <w:szCs w:val="20"/>
      </w:rPr>
      <w:t xml:space="preserve">, </w:t>
    </w:r>
    <w:r>
      <w:rPr>
        <w:rFonts w:eastAsia="Times New Roman"/>
        <w:sz w:val="20"/>
        <w:szCs w:val="20"/>
      </w:rPr>
      <w:t>out</w:t>
    </w:r>
    <w:r w:rsidRPr="005148EA">
      <w:rPr>
        <w:rFonts w:eastAsia="Times New Roman"/>
        <w:sz w:val="20"/>
        <w:szCs w:val="20"/>
      </w:rPr>
      <w:t>./</w:t>
    </w:r>
    <w:r>
      <w:rPr>
        <w:rFonts w:eastAsia="Times New Roman"/>
        <w:sz w:val="20"/>
        <w:szCs w:val="20"/>
      </w:rPr>
      <w:t>dez</w:t>
    </w:r>
    <w:r w:rsidRPr="005148EA">
      <w:rPr>
        <w:rFonts w:eastAsia="Times New Roman"/>
        <w:sz w:val="20"/>
        <w:szCs w:val="20"/>
      </w:rPr>
      <w:t xml:space="preserve">. 2019| </w:t>
    </w:r>
    <w:hyperlink r:id="rId1" w:history="1">
      <w:r w:rsidRPr="005148EA">
        <w:rPr>
          <w:rStyle w:val="Hyperlink"/>
          <w:sz w:val="20"/>
          <w:szCs w:val="20"/>
        </w:rPr>
        <w:t>https://seer.ufs.br/index.php/tempopresente</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321B1" w14:textId="56A6D0A7" w:rsidR="00C2601A" w:rsidRPr="00C2601A" w:rsidRDefault="00C2601A" w:rsidP="00C2601A">
    <w:pPr>
      <w:jc w:val="center"/>
      <w:rPr>
        <w:sz w:val="20"/>
        <w:szCs w:val="20"/>
        <w:u w:val="single"/>
      </w:rPr>
    </w:pPr>
    <w:r w:rsidRPr="005148EA">
      <w:rPr>
        <w:rFonts w:eastAsia="Times New Roman"/>
        <w:sz w:val="20"/>
        <w:szCs w:val="20"/>
      </w:rPr>
      <w:t>Boletim do Tempo Presente, Recife-PE, v. 08</w:t>
    </w:r>
    <w:r>
      <w:rPr>
        <w:rFonts w:eastAsia="Times New Roman"/>
        <w:sz w:val="20"/>
        <w:szCs w:val="20"/>
      </w:rPr>
      <w:t>, n. 04</w:t>
    </w:r>
    <w:r w:rsidRPr="005148EA">
      <w:rPr>
        <w:rFonts w:eastAsia="Times New Roman"/>
        <w:sz w:val="20"/>
        <w:szCs w:val="20"/>
      </w:rPr>
      <w:t xml:space="preserve">, p. </w:t>
    </w:r>
    <w:r w:rsidR="000E679C">
      <w:rPr>
        <w:rFonts w:eastAsia="Times New Roman"/>
        <w:sz w:val="20"/>
        <w:szCs w:val="20"/>
      </w:rPr>
      <w:t>59</w:t>
    </w:r>
    <w:r w:rsidRPr="005148EA">
      <w:rPr>
        <w:rFonts w:eastAsia="Times New Roman"/>
        <w:sz w:val="20"/>
        <w:szCs w:val="20"/>
      </w:rPr>
      <w:t>-</w:t>
    </w:r>
    <w:r w:rsidR="000E679C">
      <w:rPr>
        <w:rFonts w:eastAsia="Times New Roman"/>
        <w:sz w:val="20"/>
        <w:szCs w:val="20"/>
      </w:rPr>
      <w:t>74</w:t>
    </w:r>
    <w:r w:rsidRPr="005148EA">
      <w:rPr>
        <w:rFonts w:eastAsia="Times New Roman"/>
        <w:sz w:val="20"/>
        <w:szCs w:val="20"/>
      </w:rPr>
      <w:t xml:space="preserve">, </w:t>
    </w:r>
    <w:r>
      <w:rPr>
        <w:rFonts w:eastAsia="Times New Roman"/>
        <w:sz w:val="20"/>
        <w:szCs w:val="20"/>
      </w:rPr>
      <w:t>out</w:t>
    </w:r>
    <w:r w:rsidRPr="005148EA">
      <w:rPr>
        <w:rFonts w:eastAsia="Times New Roman"/>
        <w:sz w:val="20"/>
        <w:szCs w:val="20"/>
      </w:rPr>
      <w:t>./</w:t>
    </w:r>
    <w:r>
      <w:rPr>
        <w:rFonts w:eastAsia="Times New Roman"/>
        <w:sz w:val="20"/>
        <w:szCs w:val="20"/>
      </w:rPr>
      <w:t>dez</w:t>
    </w:r>
    <w:r w:rsidRPr="005148EA">
      <w:rPr>
        <w:rFonts w:eastAsia="Times New Roman"/>
        <w:sz w:val="20"/>
        <w:szCs w:val="20"/>
      </w:rPr>
      <w:t xml:space="preserve">. 2019| </w:t>
    </w:r>
    <w:hyperlink r:id="rId1" w:history="1">
      <w:r w:rsidRPr="005148EA">
        <w:rPr>
          <w:rStyle w:val="Hyperlink"/>
          <w:sz w:val="20"/>
          <w:szCs w:val="20"/>
        </w:rPr>
        <w:t>https://seer.ufs.br/index.php/tempopresente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B3E98" w14:textId="77777777" w:rsidR="00F05E59" w:rsidRDefault="00F05E59">
      <w:r>
        <w:rPr>
          <w:color w:val="000000"/>
        </w:rPr>
        <w:separator/>
      </w:r>
    </w:p>
  </w:footnote>
  <w:footnote w:type="continuationSeparator" w:id="0">
    <w:p w14:paraId="767269B3" w14:textId="77777777" w:rsidR="00F05E59" w:rsidRDefault="00F05E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6348" w14:textId="2181E6ED" w:rsidR="00787470" w:rsidRPr="00787470" w:rsidRDefault="00787470" w:rsidP="00787470">
    <w:pPr>
      <w:pStyle w:val="Standard"/>
      <w:jc w:val="center"/>
      <w:rPr>
        <w:rFonts w:ascii="Times New Roman" w:hAnsi="Times New Roman" w:cs="Times New Roman"/>
        <w:b/>
        <w:bCs/>
        <w:sz w:val="22"/>
        <w:lang w:val="en-US"/>
      </w:rPr>
    </w:pPr>
    <w:r w:rsidRPr="00787470">
      <w:rPr>
        <w:rFonts w:ascii="Times New Roman" w:hAnsi="Times New Roman" w:cs="Times New Roman"/>
        <w:b/>
        <w:bCs/>
        <w:sz w:val="22"/>
        <w:lang w:val="en-US"/>
      </w:rPr>
      <w:t>REFORMING THE INTERNATIONAL FINANCIAL SYSTEM?</w:t>
    </w:r>
  </w:p>
  <w:p w14:paraId="156D6E6A" w14:textId="5A5B916F" w:rsidR="00787470" w:rsidRPr="00787470" w:rsidRDefault="00787470" w:rsidP="00787470">
    <w:pPr>
      <w:pStyle w:val="Standard"/>
      <w:jc w:val="center"/>
      <w:rPr>
        <w:rFonts w:ascii="Times New Roman" w:hAnsi="Times New Roman" w:cs="Times New Roman"/>
        <w:b/>
        <w:bCs/>
        <w:sz w:val="22"/>
        <w:lang w:val="en-US"/>
      </w:rPr>
    </w:pPr>
    <w:r w:rsidRPr="00787470">
      <w:rPr>
        <w:rFonts w:ascii="Times New Roman" w:hAnsi="Times New Roman" w:cs="Times New Roman"/>
        <w:b/>
        <w:bCs/>
        <w:sz w:val="22"/>
        <w:lang w:val="en-US"/>
      </w:rPr>
      <w:t>ACCESSING THE DEPTHS OF NEW DEVELOPMENT BANK’S (NDB) OPERATIONS</w:t>
    </w:r>
  </w:p>
  <w:p w14:paraId="22319008" w14:textId="2BBE4D9E" w:rsidR="00787470" w:rsidRPr="00787470" w:rsidRDefault="00787470" w:rsidP="00787470">
    <w:pPr>
      <w:pStyle w:val="Standard"/>
      <w:jc w:val="center"/>
      <w:rPr>
        <w:rFonts w:ascii="Times New Roman" w:hAnsi="Times New Roman" w:cs="Times New Roman"/>
        <w:sz w:val="22"/>
      </w:rPr>
    </w:pPr>
    <w:r w:rsidRPr="00787470">
      <w:rPr>
        <w:rFonts w:ascii="Times New Roman" w:hAnsi="Times New Roman" w:cs="Times New Roman"/>
        <w:sz w:val="22"/>
      </w:rPr>
      <w:t>ADYNAER GERALDO MAIA DA SILVA</w:t>
    </w:r>
  </w:p>
  <w:p w14:paraId="67D4BA94" w14:textId="2C412600" w:rsidR="00787470" w:rsidRPr="00787470" w:rsidRDefault="00787470" w:rsidP="00787470">
    <w:pPr>
      <w:pStyle w:val="Header"/>
      <w:jc w:val="center"/>
      <w:rPr>
        <w:sz w:val="22"/>
      </w:rPr>
    </w:pPr>
    <w:r w:rsidRPr="00787470">
      <w:rPr>
        <w:rFonts w:ascii="Times New Roman" w:hAnsi="Times New Roman" w:cs="Times New Roman"/>
        <w:sz w:val="22"/>
      </w:rPr>
      <w:t>ELIA ELISA CIA ALVES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A4E97" w14:textId="77777777" w:rsidR="00787470" w:rsidRPr="002E779F" w:rsidRDefault="00787470" w:rsidP="00787470">
    <w:pPr>
      <w:tabs>
        <w:tab w:val="center" w:pos="4252"/>
        <w:tab w:val="right" w:pos="8504"/>
      </w:tabs>
      <w:jc w:val="center"/>
      <w:rPr>
        <w:rFonts w:ascii="Cambria" w:eastAsia="ＭＳ 明朝" w:hAnsi="Cambria"/>
        <w:b/>
        <w:sz w:val="20"/>
        <w:szCs w:val="20"/>
        <w:lang w:eastAsia="pt-BR"/>
      </w:rPr>
    </w:pPr>
    <w:r w:rsidRPr="002E779F">
      <w:rPr>
        <w:rFonts w:ascii="Cambria" w:eastAsia="ＭＳ 明朝" w:hAnsi="Cambria"/>
        <w:b/>
        <w:noProof/>
        <w:color w:val="7F7F7F"/>
        <w:sz w:val="22"/>
        <w:szCs w:val="20"/>
        <w:lang w:val="en-US" w:eastAsia="en-US" w:bidi="ar-SA"/>
      </w:rPr>
      <w:drawing>
        <wp:anchor distT="0" distB="0" distL="114300" distR="114300" simplePos="0" relativeHeight="251660288" behindDoc="1" locked="0" layoutInCell="1" allowOverlap="1" wp14:anchorId="42017FFF" wp14:editId="4E981F18">
          <wp:simplePos x="0" y="0"/>
          <wp:positionH relativeFrom="column">
            <wp:posOffset>5413375</wp:posOffset>
          </wp:positionH>
          <wp:positionV relativeFrom="paragraph">
            <wp:posOffset>-401955</wp:posOffset>
          </wp:positionV>
          <wp:extent cx="1050925" cy="800100"/>
          <wp:effectExtent l="0" t="0" r="0" b="0"/>
          <wp:wrapThrough wrapText="bothSides">
            <wp:wrapPolygon edited="0">
              <wp:start x="4176" y="2743"/>
              <wp:lineTo x="2610" y="8914"/>
              <wp:lineTo x="2088" y="19886"/>
              <wp:lineTo x="18272" y="19886"/>
              <wp:lineTo x="18794" y="2743"/>
              <wp:lineTo x="4176" y="2743"/>
            </wp:wrapPolygon>
          </wp:wrapThrough>
          <wp:docPr id="1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fs.jpg"/>
                  <pic:cNvPicPr/>
                </pic:nvPicPr>
                <pic:blipFill>
                  <a:blip r:embed="rId1">
                    <a:extLst>
                      <a:ext uri="{28A0092B-C50C-407E-A947-70E740481C1C}">
                        <a14:useLocalDpi xmlns:a14="http://schemas.microsoft.com/office/drawing/2010/main" val="0"/>
                      </a:ext>
                    </a:extLst>
                  </a:blip>
                  <a:stretch>
                    <a:fillRect/>
                  </a:stretch>
                </pic:blipFill>
                <pic:spPr>
                  <a:xfrm>
                    <a:off x="0" y="0"/>
                    <a:ext cx="1050925" cy="800100"/>
                  </a:xfrm>
                  <a:prstGeom prst="rect">
                    <a:avLst/>
                  </a:prstGeom>
                </pic:spPr>
              </pic:pic>
            </a:graphicData>
          </a:graphic>
          <wp14:sizeRelH relativeFrom="margin">
            <wp14:pctWidth>0</wp14:pctWidth>
          </wp14:sizeRelH>
        </wp:anchor>
      </w:drawing>
    </w:r>
    <w:r w:rsidRPr="002E779F">
      <w:rPr>
        <w:rFonts w:ascii="Cambria" w:eastAsia="ＭＳ 明朝" w:hAnsi="Cambria"/>
        <w:b/>
        <w:noProof/>
        <w:color w:val="7F7F7F"/>
        <w:sz w:val="22"/>
        <w:szCs w:val="20"/>
        <w:lang w:val="en-US" w:eastAsia="en-US" w:bidi="ar-SA"/>
      </w:rPr>
      <w:drawing>
        <wp:anchor distT="0" distB="0" distL="114300" distR="114300" simplePos="0" relativeHeight="251659264" behindDoc="1" locked="0" layoutInCell="1" allowOverlap="1" wp14:anchorId="3CEDC42B" wp14:editId="088B8768">
          <wp:simplePos x="0" y="0"/>
          <wp:positionH relativeFrom="column">
            <wp:posOffset>-875030</wp:posOffset>
          </wp:positionH>
          <wp:positionV relativeFrom="paragraph">
            <wp:posOffset>-325755</wp:posOffset>
          </wp:positionV>
          <wp:extent cx="1227455" cy="723900"/>
          <wp:effectExtent l="0" t="0" r="0" b="12700"/>
          <wp:wrapThrough wrapText="bothSides">
            <wp:wrapPolygon edited="0">
              <wp:start x="0" y="0"/>
              <wp:lineTo x="0" y="21221"/>
              <wp:lineTo x="21008" y="21221"/>
              <wp:lineTo x="21008" y="0"/>
              <wp:lineTo x="0" y="0"/>
            </wp:wrapPolygon>
          </wp:wrapThrough>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et.png"/>
                  <pic:cNvPicPr/>
                </pic:nvPicPr>
                <pic:blipFill>
                  <a:blip r:embed="rId2">
                    <a:extLst>
                      <a:ext uri="{28A0092B-C50C-407E-A947-70E740481C1C}">
                        <a14:useLocalDpi xmlns:a14="http://schemas.microsoft.com/office/drawing/2010/main" val="0"/>
                      </a:ext>
                    </a:extLst>
                  </a:blip>
                  <a:stretch>
                    <a:fillRect/>
                  </a:stretch>
                </pic:blipFill>
                <pic:spPr>
                  <a:xfrm>
                    <a:off x="0" y="0"/>
                    <a:ext cx="1227455" cy="723900"/>
                  </a:xfrm>
                  <a:prstGeom prst="rect">
                    <a:avLst/>
                  </a:prstGeom>
                </pic:spPr>
              </pic:pic>
            </a:graphicData>
          </a:graphic>
          <wp14:sizeRelH relativeFrom="margin">
            <wp14:pctWidth>0</wp14:pctWidth>
          </wp14:sizeRelH>
        </wp:anchor>
      </w:drawing>
    </w:r>
    <w:r w:rsidRPr="002E779F">
      <w:rPr>
        <w:rFonts w:ascii="Cambria" w:eastAsia="ＭＳ 明朝" w:hAnsi="Cambria"/>
        <w:b/>
        <w:noProof/>
        <w:color w:val="7F7F7F"/>
        <w:sz w:val="22"/>
        <w:szCs w:val="20"/>
        <w:lang w:eastAsia="pt-BR"/>
      </w:rPr>
      <w:t>Boletim do Tempo Presente - ISSN 1981-3384</w:t>
    </w:r>
  </w:p>
  <w:p w14:paraId="3605D69D" w14:textId="77777777" w:rsidR="00787470" w:rsidRDefault="00787470" w:rsidP="00787470">
    <w:pPr>
      <w:pStyle w:val="Header"/>
    </w:pPr>
  </w:p>
  <w:p w14:paraId="40DDBBA3" w14:textId="77777777" w:rsidR="00787470" w:rsidRDefault="007874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66309"/>
    <w:multiLevelType w:val="hybridMultilevel"/>
    <w:tmpl w:val="61DA8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BC6005"/>
    <w:multiLevelType w:val="hybridMultilevel"/>
    <w:tmpl w:val="513E0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500662"/>
    <w:multiLevelType w:val="hybridMultilevel"/>
    <w:tmpl w:val="FF308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16"/>
    <w:rsid w:val="00013E20"/>
    <w:rsid w:val="00017975"/>
    <w:rsid w:val="00025382"/>
    <w:rsid w:val="000266F0"/>
    <w:rsid w:val="00026DD8"/>
    <w:rsid w:val="00026F0A"/>
    <w:rsid w:val="00027CFA"/>
    <w:rsid w:val="00027E3F"/>
    <w:rsid w:val="000316DC"/>
    <w:rsid w:val="00041383"/>
    <w:rsid w:val="00051F6A"/>
    <w:rsid w:val="0005321A"/>
    <w:rsid w:val="0005694B"/>
    <w:rsid w:val="000573F0"/>
    <w:rsid w:val="00060A96"/>
    <w:rsid w:val="00066846"/>
    <w:rsid w:val="00070921"/>
    <w:rsid w:val="00074B22"/>
    <w:rsid w:val="00074DCD"/>
    <w:rsid w:val="00075F0C"/>
    <w:rsid w:val="000805EA"/>
    <w:rsid w:val="0009067F"/>
    <w:rsid w:val="0009351C"/>
    <w:rsid w:val="000A1D9D"/>
    <w:rsid w:val="000A3A9E"/>
    <w:rsid w:val="000A7002"/>
    <w:rsid w:val="000C03BE"/>
    <w:rsid w:val="000C2D20"/>
    <w:rsid w:val="000C3822"/>
    <w:rsid w:val="000C4109"/>
    <w:rsid w:val="000C6A39"/>
    <w:rsid w:val="000D05BA"/>
    <w:rsid w:val="000D1A8F"/>
    <w:rsid w:val="000D224B"/>
    <w:rsid w:val="000D44FC"/>
    <w:rsid w:val="000D4853"/>
    <w:rsid w:val="000E679C"/>
    <w:rsid w:val="000E7303"/>
    <w:rsid w:val="000F4B06"/>
    <w:rsid w:val="00102B40"/>
    <w:rsid w:val="001135B0"/>
    <w:rsid w:val="00135FA0"/>
    <w:rsid w:val="0013640D"/>
    <w:rsid w:val="00142025"/>
    <w:rsid w:val="001435B3"/>
    <w:rsid w:val="00145D3A"/>
    <w:rsid w:val="001475F6"/>
    <w:rsid w:val="0015460B"/>
    <w:rsid w:val="00155AA4"/>
    <w:rsid w:val="00161CE2"/>
    <w:rsid w:val="00167E27"/>
    <w:rsid w:val="00175662"/>
    <w:rsid w:val="0018182E"/>
    <w:rsid w:val="0018339F"/>
    <w:rsid w:val="001A2090"/>
    <w:rsid w:val="001A2180"/>
    <w:rsid w:val="001B2D17"/>
    <w:rsid w:val="001B35D2"/>
    <w:rsid w:val="001B6CAD"/>
    <w:rsid w:val="001C00A5"/>
    <w:rsid w:val="001C2A47"/>
    <w:rsid w:val="001C7676"/>
    <w:rsid w:val="001D6FF6"/>
    <w:rsid w:val="001E1198"/>
    <w:rsid w:val="001E4789"/>
    <w:rsid w:val="001E6777"/>
    <w:rsid w:val="001F4D84"/>
    <w:rsid w:val="00224A99"/>
    <w:rsid w:val="0023071E"/>
    <w:rsid w:val="002328D3"/>
    <w:rsid w:val="00234801"/>
    <w:rsid w:val="0023606F"/>
    <w:rsid w:val="002373BE"/>
    <w:rsid w:val="002418D7"/>
    <w:rsid w:val="00242CE3"/>
    <w:rsid w:val="00243E0D"/>
    <w:rsid w:val="00247A5C"/>
    <w:rsid w:val="00262108"/>
    <w:rsid w:val="00265845"/>
    <w:rsid w:val="00266E8E"/>
    <w:rsid w:val="002675B7"/>
    <w:rsid w:val="00273DC8"/>
    <w:rsid w:val="00274D60"/>
    <w:rsid w:val="00280B79"/>
    <w:rsid w:val="002820FE"/>
    <w:rsid w:val="0028426B"/>
    <w:rsid w:val="00284397"/>
    <w:rsid w:val="00287429"/>
    <w:rsid w:val="00297E07"/>
    <w:rsid w:val="002B0FDE"/>
    <w:rsid w:val="002B1A56"/>
    <w:rsid w:val="002B57BE"/>
    <w:rsid w:val="002C42E5"/>
    <w:rsid w:val="002C47BD"/>
    <w:rsid w:val="002C75F9"/>
    <w:rsid w:val="002D3A12"/>
    <w:rsid w:val="002D3E2F"/>
    <w:rsid w:val="002D3FE1"/>
    <w:rsid w:val="002D508E"/>
    <w:rsid w:val="002D6BD1"/>
    <w:rsid w:val="002E0384"/>
    <w:rsid w:val="002F074F"/>
    <w:rsid w:val="002F0E57"/>
    <w:rsid w:val="002F28EA"/>
    <w:rsid w:val="002F31E3"/>
    <w:rsid w:val="00301780"/>
    <w:rsid w:val="00312182"/>
    <w:rsid w:val="00312E20"/>
    <w:rsid w:val="0031443F"/>
    <w:rsid w:val="00314DFB"/>
    <w:rsid w:val="00326F66"/>
    <w:rsid w:val="0032784D"/>
    <w:rsid w:val="00331888"/>
    <w:rsid w:val="00332B9A"/>
    <w:rsid w:val="003360CA"/>
    <w:rsid w:val="003427DA"/>
    <w:rsid w:val="0034403D"/>
    <w:rsid w:val="003471C3"/>
    <w:rsid w:val="00350DA2"/>
    <w:rsid w:val="00352A00"/>
    <w:rsid w:val="00356CEE"/>
    <w:rsid w:val="003602A7"/>
    <w:rsid w:val="0036205B"/>
    <w:rsid w:val="00370A3E"/>
    <w:rsid w:val="0037534F"/>
    <w:rsid w:val="003764E5"/>
    <w:rsid w:val="00385BC9"/>
    <w:rsid w:val="00387F37"/>
    <w:rsid w:val="00391092"/>
    <w:rsid w:val="003910B0"/>
    <w:rsid w:val="00394E86"/>
    <w:rsid w:val="003A1FCB"/>
    <w:rsid w:val="003B06B9"/>
    <w:rsid w:val="003B521C"/>
    <w:rsid w:val="003D0DFE"/>
    <w:rsid w:val="003D1A6A"/>
    <w:rsid w:val="003D2A4D"/>
    <w:rsid w:val="003D4EBD"/>
    <w:rsid w:val="003D7005"/>
    <w:rsid w:val="003E1D9D"/>
    <w:rsid w:val="003E351D"/>
    <w:rsid w:val="003E386D"/>
    <w:rsid w:val="003E526F"/>
    <w:rsid w:val="003F0C88"/>
    <w:rsid w:val="00402B21"/>
    <w:rsid w:val="00410542"/>
    <w:rsid w:val="00417EF5"/>
    <w:rsid w:val="0042574B"/>
    <w:rsid w:val="00427DCE"/>
    <w:rsid w:val="00430ED4"/>
    <w:rsid w:val="00433D21"/>
    <w:rsid w:val="00434C2A"/>
    <w:rsid w:val="00452FD0"/>
    <w:rsid w:val="00453EC2"/>
    <w:rsid w:val="00454033"/>
    <w:rsid w:val="0045786F"/>
    <w:rsid w:val="004609A6"/>
    <w:rsid w:val="00461CA9"/>
    <w:rsid w:val="0046525C"/>
    <w:rsid w:val="004740AA"/>
    <w:rsid w:val="0047589F"/>
    <w:rsid w:val="0048230E"/>
    <w:rsid w:val="0048566D"/>
    <w:rsid w:val="004940A0"/>
    <w:rsid w:val="00495ACF"/>
    <w:rsid w:val="004B514F"/>
    <w:rsid w:val="004C1FE2"/>
    <w:rsid w:val="004E322F"/>
    <w:rsid w:val="004E389D"/>
    <w:rsid w:val="004F28D9"/>
    <w:rsid w:val="004F5342"/>
    <w:rsid w:val="00502692"/>
    <w:rsid w:val="005054A0"/>
    <w:rsid w:val="00505CD8"/>
    <w:rsid w:val="005063FC"/>
    <w:rsid w:val="00506778"/>
    <w:rsid w:val="00510220"/>
    <w:rsid w:val="0051083E"/>
    <w:rsid w:val="00511374"/>
    <w:rsid w:val="00515DF7"/>
    <w:rsid w:val="00536AFE"/>
    <w:rsid w:val="005474E8"/>
    <w:rsid w:val="00553910"/>
    <w:rsid w:val="00554DA2"/>
    <w:rsid w:val="00563DBD"/>
    <w:rsid w:val="00567AEB"/>
    <w:rsid w:val="00570F60"/>
    <w:rsid w:val="00571239"/>
    <w:rsid w:val="005721E4"/>
    <w:rsid w:val="00582391"/>
    <w:rsid w:val="005828ED"/>
    <w:rsid w:val="00582ABF"/>
    <w:rsid w:val="00584FF2"/>
    <w:rsid w:val="00586F43"/>
    <w:rsid w:val="005962D7"/>
    <w:rsid w:val="005B125E"/>
    <w:rsid w:val="005B2886"/>
    <w:rsid w:val="005B33B3"/>
    <w:rsid w:val="005C5A32"/>
    <w:rsid w:val="005D2D54"/>
    <w:rsid w:val="005D3750"/>
    <w:rsid w:val="005D5199"/>
    <w:rsid w:val="005D55C7"/>
    <w:rsid w:val="005E035C"/>
    <w:rsid w:val="005E041E"/>
    <w:rsid w:val="005E105E"/>
    <w:rsid w:val="005E3E75"/>
    <w:rsid w:val="005E7C22"/>
    <w:rsid w:val="005F568C"/>
    <w:rsid w:val="005F6181"/>
    <w:rsid w:val="005F78C9"/>
    <w:rsid w:val="0060116F"/>
    <w:rsid w:val="0060132D"/>
    <w:rsid w:val="006043AC"/>
    <w:rsid w:val="0060460C"/>
    <w:rsid w:val="00604829"/>
    <w:rsid w:val="00605D30"/>
    <w:rsid w:val="00607DCA"/>
    <w:rsid w:val="00611159"/>
    <w:rsid w:val="006123D1"/>
    <w:rsid w:val="00624A9C"/>
    <w:rsid w:val="00634F35"/>
    <w:rsid w:val="006427E3"/>
    <w:rsid w:val="0065003F"/>
    <w:rsid w:val="006527B2"/>
    <w:rsid w:val="00654746"/>
    <w:rsid w:val="006573A3"/>
    <w:rsid w:val="00671EFF"/>
    <w:rsid w:val="006740E4"/>
    <w:rsid w:val="00674DA7"/>
    <w:rsid w:val="00675A6B"/>
    <w:rsid w:val="006876D8"/>
    <w:rsid w:val="00691219"/>
    <w:rsid w:val="00691F1C"/>
    <w:rsid w:val="00695446"/>
    <w:rsid w:val="006955D3"/>
    <w:rsid w:val="006A28AE"/>
    <w:rsid w:val="006B181B"/>
    <w:rsid w:val="006B21D4"/>
    <w:rsid w:val="006B4155"/>
    <w:rsid w:val="006B4299"/>
    <w:rsid w:val="006C6260"/>
    <w:rsid w:val="006C6700"/>
    <w:rsid w:val="006D23A7"/>
    <w:rsid w:val="006D62A9"/>
    <w:rsid w:val="006E3652"/>
    <w:rsid w:val="006E69D5"/>
    <w:rsid w:val="006F21F8"/>
    <w:rsid w:val="006F2B42"/>
    <w:rsid w:val="006F732D"/>
    <w:rsid w:val="00701EC7"/>
    <w:rsid w:val="007038A7"/>
    <w:rsid w:val="00703CAF"/>
    <w:rsid w:val="00704396"/>
    <w:rsid w:val="007049BF"/>
    <w:rsid w:val="00714D99"/>
    <w:rsid w:val="00717E78"/>
    <w:rsid w:val="00720F9C"/>
    <w:rsid w:val="0073146D"/>
    <w:rsid w:val="00731F7F"/>
    <w:rsid w:val="00747696"/>
    <w:rsid w:val="00754BC5"/>
    <w:rsid w:val="00756374"/>
    <w:rsid w:val="007670BE"/>
    <w:rsid w:val="00767586"/>
    <w:rsid w:val="00774CDE"/>
    <w:rsid w:val="00783765"/>
    <w:rsid w:val="007837CA"/>
    <w:rsid w:val="00783A74"/>
    <w:rsid w:val="00787470"/>
    <w:rsid w:val="00787E5F"/>
    <w:rsid w:val="00793628"/>
    <w:rsid w:val="00794F6B"/>
    <w:rsid w:val="007A1462"/>
    <w:rsid w:val="007A38BD"/>
    <w:rsid w:val="007A56BE"/>
    <w:rsid w:val="007B2D70"/>
    <w:rsid w:val="007B399E"/>
    <w:rsid w:val="007B594E"/>
    <w:rsid w:val="007B6390"/>
    <w:rsid w:val="007B6F2E"/>
    <w:rsid w:val="007C058E"/>
    <w:rsid w:val="007C359E"/>
    <w:rsid w:val="007C501C"/>
    <w:rsid w:val="007D049F"/>
    <w:rsid w:val="007D405F"/>
    <w:rsid w:val="007D50B1"/>
    <w:rsid w:val="007D6893"/>
    <w:rsid w:val="007E512C"/>
    <w:rsid w:val="00800C76"/>
    <w:rsid w:val="00804F37"/>
    <w:rsid w:val="00822F6B"/>
    <w:rsid w:val="00826B6C"/>
    <w:rsid w:val="00832414"/>
    <w:rsid w:val="00837774"/>
    <w:rsid w:val="008402EF"/>
    <w:rsid w:val="0084681D"/>
    <w:rsid w:val="00846DF5"/>
    <w:rsid w:val="008642B4"/>
    <w:rsid w:val="00870F4C"/>
    <w:rsid w:val="00872676"/>
    <w:rsid w:val="008808D5"/>
    <w:rsid w:val="008815EE"/>
    <w:rsid w:val="00882CF9"/>
    <w:rsid w:val="008854E1"/>
    <w:rsid w:val="00891B9B"/>
    <w:rsid w:val="008A03D6"/>
    <w:rsid w:val="008A686E"/>
    <w:rsid w:val="008A6D9D"/>
    <w:rsid w:val="008B11B5"/>
    <w:rsid w:val="008B4EAC"/>
    <w:rsid w:val="008B55BB"/>
    <w:rsid w:val="008B6917"/>
    <w:rsid w:val="008C31FB"/>
    <w:rsid w:val="008C325F"/>
    <w:rsid w:val="008C46FC"/>
    <w:rsid w:val="008C6B2F"/>
    <w:rsid w:val="008C73FD"/>
    <w:rsid w:val="008D0C22"/>
    <w:rsid w:val="008E048E"/>
    <w:rsid w:val="008E09AC"/>
    <w:rsid w:val="008E26BC"/>
    <w:rsid w:val="008E3D86"/>
    <w:rsid w:val="008F46B6"/>
    <w:rsid w:val="0090372B"/>
    <w:rsid w:val="00911E7D"/>
    <w:rsid w:val="00912A21"/>
    <w:rsid w:val="00916AC2"/>
    <w:rsid w:val="0093104E"/>
    <w:rsid w:val="00931567"/>
    <w:rsid w:val="0093741A"/>
    <w:rsid w:val="00945CCD"/>
    <w:rsid w:val="00953FBE"/>
    <w:rsid w:val="00967F81"/>
    <w:rsid w:val="00976F44"/>
    <w:rsid w:val="00983609"/>
    <w:rsid w:val="0098410A"/>
    <w:rsid w:val="00986577"/>
    <w:rsid w:val="009902D1"/>
    <w:rsid w:val="00990F92"/>
    <w:rsid w:val="009910C7"/>
    <w:rsid w:val="00993176"/>
    <w:rsid w:val="009A0B33"/>
    <w:rsid w:val="009A1873"/>
    <w:rsid w:val="009A2C39"/>
    <w:rsid w:val="009B5281"/>
    <w:rsid w:val="009C504A"/>
    <w:rsid w:val="009C6847"/>
    <w:rsid w:val="009D2C73"/>
    <w:rsid w:val="009D5916"/>
    <w:rsid w:val="009E412A"/>
    <w:rsid w:val="009E66C2"/>
    <w:rsid w:val="009F3245"/>
    <w:rsid w:val="009F53A6"/>
    <w:rsid w:val="00A175B2"/>
    <w:rsid w:val="00A22EFB"/>
    <w:rsid w:val="00A27A00"/>
    <w:rsid w:val="00A45D98"/>
    <w:rsid w:val="00A46326"/>
    <w:rsid w:val="00A50C45"/>
    <w:rsid w:val="00A56F07"/>
    <w:rsid w:val="00A64FE8"/>
    <w:rsid w:val="00A65267"/>
    <w:rsid w:val="00A70F93"/>
    <w:rsid w:val="00A75C0D"/>
    <w:rsid w:val="00A764B6"/>
    <w:rsid w:val="00A7750D"/>
    <w:rsid w:val="00A847CF"/>
    <w:rsid w:val="00A94888"/>
    <w:rsid w:val="00AA4EB8"/>
    <w:rsid w:val="00AA51C0"/>
    <w:rsid w:val="00AB3599"/>
    <w:rsid w:val="00AB3E21"/>
    <w:rsid w:val="00AC0EDB"/>
    <w:rsid w:val="00AC214C"/>
    <w:rsid w:val="00AD2E01"/>
    <w:rsid w:val="00AD454B"/>
    <w:rsid w:val="00AD47EF"/>
    <w:rsid w:val="00AD4F65"/>
    <w:rsid w:val="00AE1E9E"/>
    <w:rsid w:val="00AE66D5"/>
    <w:rsid w:val="00AE6C9B"/>
    <w:rsid w:val="00AF4B04"/>
    <w:rsid w:val="00AF6243"/>
    <w:rsid w:val="00B03758"/>
    <w:rsid w:val="00B03F0C"/>
    <w:rsid w:val="00B07275"/>
    <w:rsid w:val="00B12398"/>
    <w:rsid w:val="00B170E8"/>
    <w:rsid w:val="00B220B1"/>
    <w:rsid w:val="00B26A52"/>
    <w:rsid w:val="00B27EB3"/>
    <w:rsid w:val="00B36F87"/>
    <w:rsid w:val="00B4120B"/>
    <w:rsid w:val="00B41BAC"/>
    <w:rsid w:val="00B468B0"/>
    <w:rsid w:val="00B47303"/>
    <w:rsid w:val="00B54367"/>
    <w:rsid w:val="00B56114"/>
    <w:rsid w:val="00B57891"/>
    <w:rsid w:val="00B64AA0"/>
    <w:rsid w:val="00B66A9E"/>
    <w:rsid w:val="00B70B80"/>
    <w:rsid w:val="00B75A30"/>
    <w:rsid w:val="00B8403C"/>
    <w:rsid w:val="00B84299"/>
    <w:rsid w:val="00B8760B"/>
    <w:rsid w:val="00B913AE"/>
    <w:rsid w:val="00B951A4"/>
    <w:rsid w:val="00BA1659"/>
    <w:rsid w:val="00BA54EA"/>
    <w:rsid w:val="00BA6011"/>
    <w:rsid w:val="00BB2A5C"/>
    <w:rsid w:val="00BB3137"/>
    <w:rsid w:val="00BB71D5"/>
    <w:rsid w:val="00BC0F0C"/>
    <w:rsid w:val="00BC2701"/>
    <w:rsid w:val="00BC366F"/>
    <w:rsid w:val="00BC63E5"/>
    <w:rsid w:val="00BD0259"/>
    <w:rsid w:val="00BE1CC5"/>
    <w:rsid w:val="00BE2D5B"/>
    <w:rsid w:val="00BE3377"/>
    <w:rsid w:val="00BE54CA"/>
    <w:rsid w:val="00BE68EC"/>
    <w:rsid w:val="00BE6B49"/>
    <w:rsid w:val="00BF3705"/>
    <w:rsid w:val="00C0062F"/>
    <w:rsid w:val="00C0327A"/>
    <w:rsid w:val="00C12C9E"/>
    <w:rsid w:val="00C20F94"/>
    <w:rsid w:val="00C239A6"/>
    <w:rsid w:val="00C23E20"/>
    <w:rsid w:val="00C253EA"/>
    <w:rsid w:val="00C2601A"/>
    <w:rsid w:val="00C33CA4"/>
    <w:rsid w:val="00C379A2"/>
    <w:rsid w:val="00C43FDB"/>
    <w:rsid w:val="00C51FF9"/>
    <w:rsid w:val="00C534B1"/>
    <w:rsid w:val="00C66177"/>
    <w:rsid w:val="00C679EE"/>
    <w:rsid w:val="00C7157C"/>
    <w:rsid w:val="00C7284C"/>
    <w:rsid w:val="00C72D04"/>
    <w:rsid w:val="00C76C96"/>
    <w:rsid w:val="00C86094"/>
    <w:rsid w:val="00C861AF"/>
    <w:rsid w:val="00C917FF"/>
    <w:rsid w:val="00C92AF8"/>
    <w:rsid w:val="00C95518"/>
    <w:rsid w:val="00CA6F34"/>
    <w:rsid w:val="00CC3703"/>
    <w:rsid w:val="00CC49B8"/>
    <w:rsid w:val="00CC7134"/>
    <w:rsid w:val="00CC7A93"/>
    <w:rsid w:val="00CD1392"/>
    <w:rsid w:val="00CD4840"/>
    <w:rsid w:val="00CD4E42"/>
    <w:rsid w:val="00CD5AF3"/>
    <w:rsid w:val="00CE1DA0"/>
    <w:rsid w:val="00CE6159"/>
    <w:rsid w:val="00CE6356"/>
    <w:rsid w:val="00CF2CCF"/>
    <w:rsid w:val="00CF3D37"/>
    <w:rsid w:val="00CF6A22"/>
    <w:rsid w:val="00D01130"/>
    <w:rsid w:val="00D054A5"/>
    <w:rsid w:val="00D2142E"/>
    <w:rsid w:val="00D22869"/>
    <w:rsid w:val="00D36998"/>
    <w:rsid w:val="00D42DF3"/>
    <w:rsid w:val="00D451D4"/>
    <w:rsid w:val="00D46A7C"/>
    <w:rsid w:val="00D47DB5"/>
    <w:rsid w:val="00D718ED"/>
    <w:rsid w:val="00D72A2A"/>
    <w:rsid w:val="00D7417F"/>
    <w:rsid w:val="00D75B3E"/>
    <w:rsid w:val="00D805CF"/>
    <w:rsid w:val="00D80866"/>
    <w:rsid w:val="00D83159"/>
    <w:rsid w:val="00D84C00"/>
    <w:rsid w:val="00D9290C"/>
    <w:rsid w:val="00DA5A1A"/>
    <w:rsid w:val="00DB241C"/>
    <w:rsid w:val="00DB308F"/>
    <w:rsid w:val="00DB650F"/>
    <w:rsid w:val="00DC0D5F"/>
    <w:rsid w:val="00DC25C4"/>
    <w:rsid w:val="00DC43A4"/>
    <w:rsid w:val="00DE21F8"/>
    <w:rsid w:val="00DE3F35"/>
    <w:rsid w:val="00DE561F"/>
    <w:rsid w:val="00E0200B"/>
    <w:rsid w:val="00E02FED"/>
    <w:rsid w:val="00E11FB3"/>
    <w:rsid w:val="00E12FD8"/>
    <w:rsid w:val="00E166E0"/>
    <w:rsid w:val="00E171F3"/>
    <w:rsid w:val="00E20FA7"/>
    <w:rsid w:val="00E226E5"/>
    <w:rsid w:val="00E23125"/>
    <w:rsid w:val="00E30926"/>
    <w:rsid w:val="00E35C28"/>
    <w:rsid w:val="00E461A7"/>
    <w:rsid w:val="00E567B0"/>
    <w:rsid w:val="00E63197"/>
    <w:rsid w:val="00E64BEE"/>
    <w:rsid w:val="00E65F5D"/>
    <w:rsid w:val="00E7044A"/>
    <w:rsid w:val="00E73BFD"/>
    <w:rsid w:val="00E80AC8"/>
    <w:rsid w:val="00E825FA"/>
    <w:rsid w:val="00E83445"/>
    <w:rsid w:val="00E85922"/>
    <w:rsid w:val="00E92170"/>
    <w:rsid w:val="00E93046"/>
    <w:rsid w:val="00E93FE7"/>
    <w:rsid w:val="00E97E35"/>
    <w:rsid w:val="00EA4C45"/>
    <w:rsid w:val="00EA7069"/>
    <w:rsid w:val="00EA726B"/>
    <w:rsid w:val="00EA73C0"/>
    <w:rsid w:val="00EC0D89"/>
    <w:rsid w:val="00EC103A"/>
    <w:rsid w:val="00EC1A84"/>
    <w:rsid w:val="00EC53F9"/>
    <w:rsid w:val="00ED4EAD"/>
    <w:rsid w:val="00ED5484"/>
    <w:rsid w:val="00EE3396"/>
    <w:rsid w:val="00EE74DB"/>
    <w:rsid w:val="00EF7CCD"/>
    <w:rsid w:val="00F010DC"/>
    <w:rsid w:val="00F05E59"/>
    <w:rsid w:val="00F12041"/>
    <w:rsid w:val="00F27AFB"/>
    <w:rsid w:val="00F37D16"/>
    <w:rsid w:val="00F41983"/>
    <w:rsid w:val="00F42B29"/>
    <w:rsid w:val="00F4449A"/>
    <w:rsid w:val="00F45E1C"/>
    <w:rsid w:val="00F4775E"/>
    <w:rsid w:val="00F52A78"/>
    <w:rsid w:val="00F52C83"/>
    <w:rsid w:val="00F562F7"/>
    <w:rsid w:val="00F575CE"/>
    <w:rsid w:val="00F6075E"/>
    <w:rsid w:val="00F728AC"/>
    <w:rsid w:val="00F72BC5"/>
    <w:rsid w:val="00F743C9"/>
    <w:rsid w:val="00F7503C"/>
    <w:rsid w:val="00F76961"/>
    <w:rsid w:val="00F7758B"/>
    <w:rsid w:val="00F77C53"/>
    <w:rsid w:val="00F82118"/>
    <w:rsid w:val="00F8326D"/>
    <w:rsid w:val="00F86F99"/>
    <w:rsid w:val="00F952E8"/>
    <w:rsid w:val="00FA29E3"/>
    <w:rsid w:val="00FB0F02"/>
    <w:rsid w:val="00FB548E"/>
    <w:rsid w:val="00FB65C7"/>
    <w:rsid w:val="00FC6A6B"/>
    <w:rsid w:val="00FD6D03"/>
    <w:rsid w:val="00FD7450"/>
    <w:rsid w:val="00FE02D9"/>
    <w:rsid w:val="00FE3555"/>
    <w:rsid w:val="00FE57A8"/>
    <w:rsid w:val="00FF0C8E"/>
    <w:rsid w:val="00FF4C25"/>
    <w:rsid w:val="00FF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53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3"/>
        <w:sz w:val="24"/>
        <w:szCs w:val="24"/>
        <w:lang w:val="pt-BR" w:eastAsia="zh-CN" w:bidi="hi-IN"/>
      </w:rPr>
    </w:rPrDefault>
    <w:pPrDefault>
      <w:pPr>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paragraph" w:styleId="Footer">
    <w:name w:val="footer"/>
    <w:basedOn w:val="Standard"/>
    <w:link w:val="FooterChar"/>
    <w:uiPriority w:val="99"/>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F81"/>
    <w:rPr>
      <w:rFonts w:ascii="Segoe UI" w:hAnsi="Segoe UI" w:cs="Mangal"/>
      <w:sz w:val="18"/>
      <w:szCs w:val="16"/>
    </w:rPr>
  </w:style>
  <w:style w:type="character" w:customStyle="1" w:styleId="BalloonTextChar">
    <w:name w:val="Balloon Text Char"/>
    <w:basedOn w:val="DefaultParagraphFont"/>
    <w:link w:val="BalloonText"/>
    <w:uiPriority w:val="99"/>
    <w:semiHidden/>
    <w:rsid w:val="00967F81"/>
    <w:rPr>
      <w:rFonts w:ascii="Segoe UI" w:hAnsi="Segoe UI" w:cs="Mangal"/>
      <w:sz w:val="18"/>
      <w:szCs w:val="16"/>
    </w:rPr>
  </w:style>
  <w:style w:type="paragraph" w:styleId="Header">
    <w:name w:val="header"/>
    <w:basedOn w:val="Normal"/>
    <w:link w:val="HeaderChar"/>
    <w:uiPriority w:val="99"/>
    <w:unhideWhenUsed/>
    <w:rsid w:val="007038A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038A7"/>
    <w:rPr>
      <w:rFonts w:cs="Mangal"/>
      <w:szCs w:val="21"/>
    </w:rPr>
  </w:style>
  <w:style w:type="character" w:customStyle="1" w:styleId="FooterChar">
    <w:name w:val="Footer Char"/>
    <w:basedOn w:val="DefaultParagraphFont"/>
    <w:link w:val="Footer"/>
    <w:uiPriority w:val="99"/>
    <w:rsid w:val="007038A7"/>
  </w:style>
  <w:style w:type="character" w:styleId="Hyperlink">
    <w:name w:val="Hyperlink"/>
    <w:basedOn w:val="DefaultParagraphFont"/>
    <w:uiPriority w:val="99"/>
    <w:unhideWhenUsed/>
    <w:rsid w:val="00C43FDB"/>
    <w:rPr>
      <w:color w:val="0563C1" w:themeColor="hyperlink"/>
      <w:u w:val="single"/>
    </w:rPr>
  </w:style>
  <w:style w:type="character" w:customStyle="1" w:styleId="UnresolvedMention">
    <w:name w:val="Unresolved Mention"/>
    <w:basedOn w:val="DefaultParagraphFont"/>
    <w:uiPriority w:val="99"/>
    <w:semiHidden/>
    <w:unhideWhenUsed/>
    <w:rsid w:val="00C43F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3652"/>
    <w:rPr>
      <w:b/>
      <w:bCs/>
    </w:rPr>
  </w:style>
  <w:style w:type="character" w:customStyle="1" w:styleId="CommentSubjectChar">
    <w:name w:val="Comment Subject Char"/>
    <w:basedOn w:val="CommentTextChar"/>
    <w:link w:val="CommentSubject"/>
    <w:uiPriority w:val="99"/>
    <w:semiHidden/>
    <w:rsid w:val="006E3652"/>
    <w:rPr>
      <w:rFonts w:cs="Mangal"/>
      <w:b/>
      <w:bCs/>
      <w:sz w:val="20"/>
      <w:szCs w:val="18"/>
    </w:rPr>
  </w:style>
  <w:style w:type="character" w:customStyle="1" w:styleId="italic">
    <w:name w:val="italic"/>
    <w:basedOn w:val="DefaultParagraphFont"/>
    <w:rsid w:val="00041383"/>
  </w:style>
  <w:style w:type="character" w:styleId="Emphasis">
    <w:name w:val="Emphasis"/>
    <w:basedOn w:val="DefaultParagraphFont"/>
    <w:uiPriority w:val="20"/>
    <w:qFormat/>
    <w:rsid w:val="00301780"/>
    <w:rPr>
      <w:i/>
      <w:iCs/>
    </w:rPr>
  </w:style>
  <w:style w:type="paragraph" w:styleId="Revision">
    <w:name w:val="Revision"/>
    <w:hidden/>
    <w:uiPriority w:val="99"/>
    <w:semiHidden/>
    <w:rsid w:val="006955D3"/>
    <w:pPr>
      <w:suppressAutoHyphens w:val="0"/>
      <w:autoSpaceDN/>
      <w:textAlignment w:val="auto"/>
    </w:pPr>
    <w:rPr>
      <w:rFonts w:cs="Mangal"/>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3"/>
        <w:sz w:val="24"/>
        <w:szCs w:val="24"/>
        <w:lang w:val="pt-BR" w:eastAsia="zh-CN" w:bidi="hi-IN"/>
      </w:rPr>
    </w:rPrDefault>
    <w:pPrDefault>
      <w:pPr>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paragraph" w:styleId="Footer">
    <w:name w:val="footer"/>
    <w:basedOn w:val="Standard"/>
    <w:link w:val="FooterChar"/>
    <w:uiPriority w:val="99"/>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F81"/>
    <w:rPr>
      <w:rFonts w:ascii="Segoe UI" w:hAnsi="Segoe UI" w:cs="Mangal"/>
      <w:sz w:val="18"/>
      <w:szCs w:val="16"/>
    </w:rPr>
  </w:style>
  <w:style w:type="character" w:customStyle="1" w:styleId="BalloonTextChar">
    <w:name w:val="Balloon Text Char"/>
    <w:basedOn w:val="DefaultParagraphFont"/>
    <w:link w:val="BalloonText"/>
    <w:uiPriority w:val="99"/>
    <w:semiHidden/>
    <w:rsid w:val="00967F81"/>
    <w:rPr>
      <w:rFonts w:ascii="Segoe UI" w:hAnsi="Segoe UI" w:cs="Mangal"/>
      <w:sz w:val="18"/>
      <w:szCs w:val="16"/>
    </w:rPr>
  </w:style>
  <w:style w:type="paragraph" w:styleId="Header">
    <w:name w:val="header"/>
    <w:basedOn w:val="Normal"/>
    <w:link w:val="HeaderChar"/>
    <w:uiPriority w:val="99"/>
    <w:unhideWhenUsed/>
    <w:rsid w:val="007038A7"/>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038A7"/>
    <w:rPr>
      <w:rFonts w:cs="Mangal"/>
      <w:szCs w:val="21"/>
    </w:rPr>
  </w:style>
  <w:style w:type="character" w:customStyle="1" w:styleId="FooterChar">
    <w:name w:val="Footer Char"/>
    <w:basedOn w:val="DefaultParagraphFont"/>
    <w:link w:val="Footer"/>
    <w:uiPriority w:val="99"/>
    <w:rsid w:val="007038A7"/>
  </w:style>
  <w:style w:type="character" w:styleId="Hyperlink">
    <w:name w:val="Hyperlink"/>
    <w:basedOn w:val="DefaultParagraphFont"/>
    <w:uiPriority w:val="99"/>
    <w:unhideWhenUsed/>
    <w:rsid w:val="00C43FDB"/>
    <w:rPr>
      <w:color w:val="0563C1" w:themeColor="hyperlink"/>
      <w:u w:val="single"/>
    </w:rPr>
  </w:style>
  <w:style w:type="character" w:customStyle="1" w:styleId="UnresolvedMention">
    <w:name w:val="Unresolved Mention"/>
    <w:basedOn w:val="DefaultParagraphFont"/>
    <w:uiPriority w:val="99"/>
    <w:semiHidden/>
    <w:unhideWhenUsed/>
    <w:rsid w:val="00C43FD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3652"/>
    <w:rPr>
      <w:b/>
      <w:bCs/>
    </w:rPr>
  </w:style>
  <w:style w:type="character" w:customStyle="1" w:styleId="CommentSubjectChar">
    <w:name w:val="Comment Subject Char"/>
    <w:basedOn w:val="CommentTextChar"/>
    <w:link w:val="CommentSubject"/>
    <w:uiPriority w:val="99"/>
    <w:semiHidden/>
    <w:rsid w:val="006E3652"/>
    <w:rPr>
      <w:rFonts w:cs="Mangal"/>
      <w:b/>
      <w:bCs/>
      <w:sz w:val="20"/>
      <w:szCs w:val="18"/>
    </w:rPr>
  </w:style>
  <w:style w:type="character" w:customStyle="1" w:styleId="italic">
    <w:name w:val="italic"/>
    <w:basedOn w:val="DefaultParagraphFont"/>
    <w:rsid w:val="00041383"/>
  </w:style>
  <w:style w:type="character" w:styleId="Emphasis">
    <w:name w:val="Emphasis"/>
    <w:basedOn w:val="DefaultParagraphFont"/>
    <w:uiPriority w:val="20"/>
    <w:qFormat/>
    <w:rsid w:val="00301780"/>
    <w:rPr>
      <w:i/>
      <w:iCs/>
    </w:rPr>
  </w:style>
  <w:style w:type="paragraph" w:styleId="Revision">
    <w:name w:val="Revision"/>
    <w:hidden/>
    <w:uiPriority w:val="99"/>
    <w:semiHidden/>
    <w:rsid w:val="006955D3"/>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60499">
      <w:bodyDiv w:val="1"/>
      <w:marLeft w:val="0"/>
      <w:marRight w:val="0"/>
      <w:marTop w:val="0"/>
      <w:marBottom w:val="0"/>
      <w:divBdr>
        <w:top w:val="none" w:sz="0" w:space="0" w:color="auto"/>
        <w:left w:val="none" w:sz="0" w:space="0" w:color="auto"/>
        <w:bottom w:val="none" w:sz="0" w:space="0" w:color="auto"/>
        <w:right w:val="none" w:sz="0" w:space="0" w:color="auto"/>
      </w:divBdr>
    </w:div>
    <w:div w:id="1317151533">
      <w:bodyDiv w:val="1"/>
      <w:marLeft w:val="0"/>
      <w:marRight w:val="0"/>
      <w:marTop w:val="0"/>
      <w:marBottom w:val="0"/>
      <w:divBdr>
        <w:top w:val="none" w:sz="0" w:space="0" w:color="auto"/>
        <w:left w:val="none" w:sz="0" w:space="0" w:color="auto"/>
        <w:bottom w:val="none" w:sz="0" w:space="0" w:color="auto"/>
        <w:right w:val="none" w:sz="0" w:space="0" w:color="auto"/>
      </w:divBdr>
      <w:divsChild>
        <w:div w:id="2064677647">
          <w:marLeft w:val="0"/>
          <w:marRight w:val="0"/>
          <w:marTop w:val="0"/>
          <w:marBottom w:val="375"/>
          <w:divBdr>
            <w:top w:val="none" w:sz="0" w:space="0" w:color="auto"/>
            <w:left w:val="none" w:sz="0" w:space="0" w:color="auto"/>
            <w:bottom w:val="none" w:sz="0" w:space="0" w:color="auto"/>
            <w:right w:val="none" w:sz="0" w:space="0" w:color="auto"/>
          </w:divBdr>
          <w:divsChild>
            <w:div w:id="17518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5830">
      <w:bodyDiv w:val="1"/>
      <w:marLeft w:val="0"/>
      <w:marRight w:val="0"/>
      <w:marTop w:val="0"/>
      <w:marBottom w:val="0"/>
      <w:divBdr>
        <w:top w:val="none" w:sz="0" w:space="0" w:color="auto"/>
        <w:left w:val="none" w:sz="0" w:space="0" w:color="auto"/>
        <w:bottom w:val="none" w:sz="0" w:space="0" w:color="auto"/>
        <w:right w:val="none" w:sz="0" w:space="0" w:color="auto"/>
      </w:divBdr>
    </w:div>
    <w:div w:id="1583249049">
      <w:bodyDiv w:val="1"/>
      <w:marLeft w:val="0"/>
      <w:marRight w:val="0"/>
      <w:marTop w:val="0"/>
      <w:marBottom w:val="0"/>
      <w:divBdr>
        <w:top w:val="none" w:sz="0" w:space="0" w:color="auto"/>
        <w:left w:val="none" w:sz="0" w:space="0" w:color="auto"/>
        <w:bottom w:val="none" w:sz="0" w:space="0" w:color="auto"/>
        <w:right w:val="none" w:sz="0" w:space="0" w:color="auto"/>
      </w:divBdr>
    </w:div>
    <w:div w:id="164272995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3.xml"/><Relationship Id="rId12" Type="http://schemas.openxmlformats.org/officeDocument/2006/relationships/hyperlink" Target="https://www.mofa.go.jp/policy/economy/summit/1999/g7econo.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hyperlink" Target="https://seer.ufs.br/index.php/tempopresen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er.ufs.br/index.php/tempopresen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ynaer\Documents\PGPCI%20-%20MESTRADO%20-%20COOPERA&#199;&#195;O%20INTERNACIONAL\ORIENTA&#199;&#195;O%20-%20ARTIGOS%20E%20FICHAMENTOS\SINO-BRASILEIRO\COLETA%20DE%20DADOS%20QUALITATIVOS.ods"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ynaer\Documents\PGPCI%20-%20MESTRADO%20-%20COOPERA&#199;&#195;O%20INTERNACIONAL\ORIENTA&#199;&#195;O%20-%20ARTIGOS%20E%20FICHAMENTOS\SINO-BRASILEIRO\COLETA%20DE%20DADOS%20QUALITATIVOS.ods" TargetMode="External"/><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ynaer\Documents\PGPCI%20-%20MESTRADO%20-%20COOPERA&#199;&#195;O%20INTERNACIONAL\ORIENTA&#199;&#195;O%20-%20ARTIGOS%20E%20FICHAMENTOS\SINO-BRASILEIRO\COLETA%20DE%20DADOS%20QUALITATIVOS.ods" TargetMode="External"/><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[COLETA DE DADOS QUALITATIVOS.ods]Planilha3!Tabela dinâmica4</c:name>
    <c:fmtId val="-1"/>
  </c:pivotSource>
  <c:chart>
    <c:autoTitleDeleted val="0"/>
    <c:pivotFmts>
      <c:pivotFmt>
        <c:idx val="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Planilha3!$B$3:$B$4</c:f>
              <c:strCache>
                <c:ptCount val="1"/>
                <c:pt idx="0">
                  <c:v>Clean Energy</c:v>
                </c:pt>
              </c:strCache>
            </c:strRef>
          </c:tx>
          <c:spPr>
            <a:solidFill>
              <a:schemeClr val="accent1"/>
            </a:solidFill>
            <a:ln>
              <a:noFill/>
            </a:ln>
            <a:effectLst/>
          </c:spPr>
          <c:invertIfNegative val="0"/>
          <c:cat>
            <c:strRef>
              <c:f>Planilha3!$A$5:$A$7</c:f>
              <c:strCache>
                <c:ptCount val="3"/>
                <c:pt idx="0">
                  <c:v>Soma de 2016</c:v>
                </c:pt>
                <c:pt idx="1">
                  <c:v>Soma de 2017</c:v>
                </c:pt>
                <c:pt idx="2">
                  <c:v>Soma de 2018</c:v>
                </c:pt>
              </c:strCache>
            </c:strRef>
          </c:cat>
          <c:val>
            <c:numRef>
              <c:f>Planilha3!$B$5:$B$7</c:f>
              <c:numCache>
                <c:formatCode>General</c:formatCode>
                <c:ptCount val="3"/>
                <c:pt idx="0">
                  <c:v>6.0</c:v>
                </c:pt>
                <c:pt idx="1">
                  <c:v>1.0</c:v>
                </c:pt>
                <c:pt idx="2">
                  <c:v>3.0</c:v>
                </c:pt>
              </c:numCache>
            </c:numRef>
          </c:val>
          <c:extLst xmlns:c16r2="http://schemas.microsoft.com/office/drawing/2015/06/chart">
            <c:ext xmlns:c16="http://schemas.microsoft.com/office/drawing/2014/chart" uri="{C3380CC4-5D6E-409C-BE32-E72D297353CC}">
              <c16:uniqueId val="{00000000-0341-4FCD-AE0B-81A113D6C2BE}"/>
            </c:ext>
          </c:extLst>
        </c:ser>
        <c:ser>
          <c:idx val="1"/>
          <c:order val="1"/>
          <c:tx>
            <c:strRef>
              <c:f>Planilha3!$C$3:$C$4</c:f>
              <c:strCache>
                <c:ptCount val="1"/>
                <c:pt idx="0">
                  <c:v>Irrigation, Water resource management and sanitation</c:v>
                </c:pt>
              </c:strCache>
            </c:strRef>
          </c:tx>
          <c:spPr>
            <a:solidFill>
              <a:schemeClr val="accent2"/>
            </a:solidFill>
            <a:ln>
              <a:noFill/>
            </a:ln>
            <a:effectLst/>
          </c:spPr>
          <c:invertIfNegative val="0"/>
          <c:cat>
            <c:strRef>
              <c:f>Planilha3!$A$5:$A$7</c:f>
              <c:strCache>
                <c:ptCount val="3"/>
                <c:pt idx="0">
                  <c:v>Soma de 2016</c:v>
                </c:pt>
                <c:pt idx="1">
                  <c:v>Soma de 2017</c:v>
                </c:pt>
                <c:pt idx="2">
                  <c:v>Soma de 2018</c:v>
                </c:pt>
              </c:strCache>
            </c:strRef>
          </c:cat>
          <c:val>
            <c:numRef>
              <c:f>Planilha3!$C$5:$C$7</c:f>
              <c:numCache>
                <c:formatCode>General</c:formatCode>
                <c:ptCount val="3"/>
                <c:pt idx="0">
                  <c:v>0.0</c:v>
                </c:pt>
                <c:pt idx="1">
                  <c:v>3.0</c:v>
                </c:pt>
                <c:pt idx="2">
                  <c:v>2.0</c:v>
                </c:pt>
              </c:numCache>
            </c:numRef>
          </c:val>
          <c:extLst xmlns:c16r2="http://schemas.microsoft.com/office/drawing/2015/06/chart">
            <c:ext xmlns:c16="http://schemas.microsoft.com/office/drawing/2014/chart" uri="{C3380CC4-5D6E-409C-BE32-E72D297353CC}">
              <c16:uniqueId val="{00000001-0341-4FCD-AE0B-81A113D6C2BE}"/>
            </c:ext>
          </c:extLst>
        </c:ser>
        <c:ser>
          <c:idx val="2"/>
          <c:order val="2"/>
          <c:tx>
            <c:strRef>
              <c:f>Planilha3!$D$3:$D$4</c:f>
              <c:strCache>
                <c:ptCount val="1"/>
                <c:pt idx="0">
                  <c:v>Transport infrastructure</c:v>
                </c:pt>
              </c:strCache>
            </c:strRef>
          </c:tx>
          <c:spPr>
            <a:solidFill>
              <a:schemeClr val="accent3"/>
            </a:solidFill>
            <a:ln>
              <a:noFill/>
            </a:ln>
            <a:effectLst/>
          </c:spPr>
          <c:invertIfNegative val="0"/>
          <c:cat>
            <c:strRef>
              <c:f>Planilha3!$A$5:$A$7</c:f>
              <c:strCache>
                <c:ptCount val="3"/>
                <c:pt idx="0">
                  <c:v>Soma de 2016</c:v>
                </c:pt>
                <c:pt idx="1">
                  <c:v>Soma de 2017</c:v>
                </c:pt>
                <c:pt idx="2">
                  <c:v>Soma de 2018</c:v>
                </c:pt>
              </c:strCache>
            </c:strRef>
          </c:cat>
          <c:val>
            <c:numRef>
              <c:f>Planilha3!$D$5:$D$7</c:f>
              <c:numCache>
                <c:formatCode>General</c:formatCode>
                <c:ptCount val="3"/>
                <c:pt idx="0">
                  <c:v>1.0</c:v>
                </c:pt>
                <c:pt idx="1">
                  <c:v>1.0</c:v>
                </c:pt>
                <c:pt idx="2">
                  <c:v>7.0</c:v>
                </c:pt>
              </c:numCache>
            </c:numRef>
          </c:val>
          <c:extLst xmlns:c16r2="http://schemas.microsoft.com/office/drawing/2015/06/chart">
            <c:ext xmlns:c16="http://schemas.microsoft.com/office/drawing/2014/chart" uri="{C3380CC4-5D6E-409C-BE32-E72D297353CC}">
              <c16:uniqueId val="{00000002-0341-4FCD-AE0B-81A113D6C2BE}"/>
            </c:ext>
          </c:extLst>
        </c:ser>
        <c:ser>
          <c:idx val="3"/>
          <c:order val="3"/>
          <c:tx>
            <c:strRef>
              <c:f>Planilha3!$E$3:$E$4</c:f>
              <c:strCache>
                <c:ptCount val="1"/>
                <c:pt idx="0">
                  <c:v>Social Infrastructure</c:v>
                </c:pt>
              </c:strCache>
            </c:strRef>
          </c:tx>
          <c:spPr>
            <a:solidFill>
              <a:schemeClr val="accent4"/>
            </a:solidFill>
            <a:ln>
              <a:noFill/>
            </a:ln>
            <a:effectLst/>
          </c:spPr>
          <c:invertIfNegative val="0"/>
          <c:cat>
            <c:strRef>
              <c:f>Planilha3!$A$5:$A$7</c:f>
              <c:strCache>
                <c:ptCount val="3"/>
                <c:pt idx="0">
                  <c:v>Soma de 2016</c:v>
                </c:pt>
                <c:pt idx="1">
                  <c:v>Soma de 2017</c:v>
                </c:pt>
                <c:pt idx="2">
                  <c:v>Soma de 2018</c:v>
                </c:pt>
              </c:strCache>
            </c:strRef>
          </c:cat>
          <c:val>
            <c:numRef>
              <c:f>Planilha3!$E$5:$E$7</c:f>
              <c:numCache>
                <c:formatCode>General</c:formatCode>
                <c:ptCount val="3"/>
                <c:pt idx="0">
                  <c:v>0.0</c:v>
                </c:pt>
                <c:pt idx="1">
                  <c:v>1.0</c:v>
                </c:pt>
                <c:pt idx="2">
                  <c:v>0.0</c:v>
                </c:pt>
              </c:numCache>
            </c:numRef>
          </c:val>
          <c:extLst xmlns:c16r2="http://schemas.microsoft.com/office/drawing/2015/06/chart">
            <c:ext xmlns:c16="http://schemas.microsoft.com/office/drawing/2014/chart" uri="{C3380CC4-5D6E-409C-BE32-E72D297353CC}">
              <c16:uniqueId val="{00000003-0341-4FCD-AE0B-81A113D6C2BE}"/>
            </c:ext>
          </c:extLst>
        </c:ser>
        <c:ser>
          <c:idx val="4"/>
          <c:order val="4"/>
          <c:tx>
            <c:strRef>
              <c:f>Planilha3!$F$3:$F$4</c:f>
              <c:strCache>
                <c:ptCount val="1"/>
                <c:pt idx="0">
                  <c:v>Urban Development</c:v>
                </c:pt>
              </c:strCache>
            </c:strRef>
          </c:tx>
          <c:spPr>
            <a:solidFill>
              <a:schemeClr val="accent5"/>
            </a:solidFill>
            <a:ln>
              <a:noFill/>
            </a:ln>
            <a:effectLst/>
          </c:spPr>
          <c:invertIfNegative val="0"/>
          <c:cat>
            <c:strRef>
              <c:f>Planilha3!$A$5:$A$7</c:f>
              <c:strCache>
                <c:ptCount val="3"/>
                <c:pt idx="0">
                  <c:v>Soma de 2016</c:v>
                </c:pt>
                <c:pt idx="1">
                  <c:v>Soma de 2017</c:v>
                </c:pt>
                <c:pt idx="2">
                  <c:v>Soma de 2018</c:v>
                </c:pt>
              </c:strCache>
            </c:strRef>
          </c:cat>
          <c:val>
            <c:numRef>
              <c:f>Planilha3!$F$5:$F$7</c:f>
              <c:numCache>
                <c:formatCode>General</c:formatCode>
                <c:ptCount val="3"/>
                <c:pt idx="0">
                  <c:v>0.0</c:v>
                </c:pt>
                <c:pt idx="1">
                  <c:v>0.0</c:v>
                </c:pt>
                <c:pt idx="2">
                  <c:v>3.0</c:v>
                </c:pt>
              </c:numCache>
            </c:numRef>
          </c:val>
          <c:extLst xmlns:c16r2="http://schemas.microsoft.com/office/drawing/2015/06/chart">
            <c:ext xmlns:c16="http://schemas.microsoft.com/office/drawing/2014/chart" uri="{C3380CC4-5D6E-409C-BE32-E72D297353CC}">
              <c16:uniqueId val="{00000004-0341-4FCD-AE0B-81A113D6C2BE}"/>
            </c:ext>
          </c:extLst>
        </c:ser>
        <c:ser>
          <c:idx val="5"/>
          <c:order val="5"/>
          <c:tx>
            <c:strRef>
              <c:f>Planilha3!$G$3:$G$4</c:f>
              <c:strCache>
                <c:ptCount val="1"/>
                <c:pt idx="0">
                  <c:v>Enviromental Efficiency</c:v>
                </c:pt>
              </c:strCache>
            </c:strRef>
          </c:tx>
          <c:spPr>
            <a:solidFill>
              <a:schemeClr val="accent6"/>
            </a:solidFill>
            <a:ln>
              <a:noFill/>
            </a:ln>
            <a:effectLst/>
          </c:spPr>
          <c:invertIfNegative val="0"/>
          <c:cat>
            <c:strRef>
              <c:f>Planilha3!$A$5:$A$7</c:f>
              <c:strCache>
                <c:ptCount val="3"/>
                <c:pt idx="0">
                  <c:v>Soma de 2016</c:v>
                </c:pt>
                <c:pt idx="1">
                  <c:v>Soma de 2017</c:v>
                </c:pt>
                <c:pt idx="2">
                  <c:v>Soma de 2018</c:v>
                </c:pt>
              </c:strCache>
            </c:strRef>
          </c:cat>
          <c:val>
            <c:numRef>
              <c:f>Planilha3!$G$5:$G$7</c:f>
              <c:numCache>
                <c:formatCode>General</c:formatCode>
                <c:ptCount val="3"/>
                <c:pt idx="0">
                  <c:v>0.0</c:v>
                </c:pt>
                <c:pt idx="1">
                  <c:v>0.0</c:v>
                </c:pt>
                <c:pt idx="2">
                  <c:v>2.0</c:v>
                </c:pt>
              </c:numCache>
            </c:numRef>
          </c:val>
          <c:extLst xmlns:c16r2="http://schemas.microsoft.com/office/drawing/2015/06/chart">
            <c:ext xmlns:c16="http://schemas.microsoft.com/office/drawing/2014/chart" uri="{C3380CC4-5D6E-409C-BE32-E72D297353CC}">
              <c16:uniqueId val="{00000005-0341-4FCD-AE0B-81A113D6C2BE}"/>
            </c:ext>
          </c:extLst>
        </c:ser>
        <c:dLbls>
          <c:showLegendKey val="0"/>
          <c:showVal val="0"/>
          <c:showCatName val="0"/>
          <c:showSerName val="0"/>
          <c:showPercent val="0"/>
          <c:showBubbleSize val="0"/>
        </c:dLbls>
        <c:gapWidth val="219"/>
        <c:overlap val="-27"/>
        <c:axId val="2101449352"/>
        <c:axId val="2088619432"/>
      </c:barChart>
      <c:catAx>
        <c:axId val="210144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088619432"/>
        <c:crosses val="autoZero"/>
        <c:auto val="1"/>
        <c:lblAlgn val="ctr"/>
        <c:lblOffset val="100"/>
        <c:noMultiLvlLbl val="0"/>
      </c:catAx>
      <c:valAx>
        <c:axId val="2088619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101449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[COLETA DE DADOS QUALITATIVOS.ods]Planilha10!Tabela dinâmica17</c:name>
    <c:fmtId val="-1"/>
  </c:pivotSource>
  <c:chart>
    <c:autoTitleDeleted val="1"/>
    <c:pivotFmts>
      <c:pivotFmt>
        <c:idx val="0"/>
        <c:spPr>
          <a:solidFill>
            <a:schemeClr val="accent1"/>
          </a:solidFill>
          <a:ln>
            <a:noFill/>
          </a:ln>
          <a:effectLst>
            <a:outerShdw blurRad="317500" algn="ctr" rotWithShape="0">
              <a:prstClr val="black">
                <a:alpha val="25000"/>
              </a:prst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a:outerShdw blurRad="317500" algn="ctr" rotWithShape="0">
              <a:prstClr val="black">
                <a:alpha val="25000"/>
              </a:prstClr>
            </a:outerShdw>
          </a:effectLst>
        </c:spPr>
      </c:pivotFmt>
      <c:pivotFmt>
        <c:idx val="3"/>
        <c:spPr>
          <a:solidFill>
            <a:schemeClr val="accent1"/>
          </a:solidFill>
          <a:ln>
            <a:noFill/>
          </a:ln>
          <a:effectLst>
            <a:outerShdw blurRad="317500" algn="ctr" rotWithShape="0">
              <a:prstClr val="black">
                <a:alpha val="25000"/>
              </a:prstClr>
            </a:outerShdw>
          </a:effectLst>
        </c:spPr>
      </c:pivotFmt>
      <c:pivotFmt>
        <c:idx val="4"/>
        <c:spPr>
          <a:solidFill>
            <a:schemeClr val="accent1"/>
          </a:solidFill>
          <a:ln>
            <a:noFill/>
          </a:ln>
          <a:effectLst>
            <a:outerShdw blurRad="317500" algn="ctr" rotWithShape="0">
              <a:prstClr val="black">
                <a:alpha val="25000"/>
              </a:prstClr>
            </a:outerShdw>
          </a:effectLst>
        </c:spPr>
      </c:pivotFmt>
      <c:pivotFmt>
        <c:idx val="5"/>
        <c:spPr>
          <a:solidFill>
            <a:schemeClr val="accent1"/>
          </a:solidFill>
          <a:ln>
            <a:noFill/>
          </a:ln>
          <a:effectLst>
            <a:outerShdw blurRad="317500" algn="ctr" rotWithShape="0">
              <a:prstClr val="black">
                <a:alpha val="25000"/>
              </a:prstClr>
            </a:outerShdw>
          </a:effectLst>
        </c:spPr>
      </c:pivotFmt>
      <c:pivotFmt>
        <c:idx val="6"/>
        <c:spPr>
          <a:solidFill>
            <a:schemeClr val="accent1"/>
          </a:solidFill>
          <a:ln>
            <a:noFill/>
          </a:ln>
          <a:effectLst>
            <a:outerShdw blurRad="317500" algn="ctr" rotWithShape="0">
              <a:prstClr val="black">
                <a:alpha val="25000"/>
              </a:prstClr>
            </a:outerShdw>
          </a:effectLst>
        </c:spPr>
      </c:pivotFmt>
      <c:pivotFmt>
        <c:idx val="7"/>
        <c:spPr>
          <a:solidFill>
            <a:schemeClr val="accent1"/>
          </a:solidFill>
          <a:ln>
            <a:noFill/>
          </a:ln>
          <a:effectLst>
            <a:outerShdw blurRad="317500" algn="ctr" rotWithShape="0">
              <a:prstClr val="black">
                <a:alpha val="25000"/>
              </a:prstClr>
            </a:outerShdw>
          </a:effectLst>
        </c:spPr>
      </c:pivotFmt>
      <c:pivotFmt>
        <c:idx val="8"/>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Lst>
        </c:dLbl>
      </c:pivotFmt>
      <c:pivotFmt>
        <c:idx val="9"/>
        <c:spPr>
          <a:solidFill>
            <a:schemeClr val="accent1"/>
          </a:solidFill>
          <a:ln>
            <a:noFill/>
          </a:ln>
          <a:effectLst>
            <a:outerShdw blurRad="317500" algn="ctr" rotWithShape="0">
              <a:prstClr val="black">
                <a:alpha val="25000"/>
              </a:prstClr>
            </a:outerShdw>
          </a:effectLst>
        </c:spPr>
      </c:pivotFmt>
      <c:pivotFmt>
        <c:idx val="10"/>
        <c:spPr>
          <a:solidFill>
            <a:schemeClr val="accent1"/>
          </a:solidFill>
          <a:ln>
            <a:noFill/>
          </a:ln>
          <a:effectLst>
            <a:outerShdw blurRad="317500" algn="ctr" rotWithShape="0">
              <a:prstClr val="black">
                <a:alpha val="25000"/>
              </a:prstClr>
            </a:outerShdw>
          </a:effectLst>
        </c:spPr>
      </c:pivotFmt>
      <c:pivotFmt>
        <c:idx val="11"/>
        <c:spPr>
          <a:solidFill>
            <a:schemeClr val="accent1"/>
          </a:solidFill>
          <a:ln>
            <a:noFill/>
          </a:ln>
          <a:effectLst>
            <a:outerShdw blurRad="317500" algn="ctr" rotWithShape="0">
              <a:prstClr val="black">
                <a:alpha val="25000"/>
              </a:prstClr>
            </a:outerShdw>
          </a:effectLst>
        </c:spPr>
      </c:pivotFmt>
      <c:pivotFmt>
        <c:idx val="12"/>
        <c:spPr>
          <a:solidFill>
            <a:schemeClr val="accent1"/>
          </a:solidFill>
          <a:ln>
            <a:noFill/>
          </a:ln>
          <a:effectLst>
            <a:outerShdw blurRad="317500" algn="ctr" rotWithShape="0">
              <a:prstClr val="black">
                <a:alpha val="25000"/>
              </a:prstClr>
            </a:outerShdw>
          </a:effectLst>
        </c:spPr>
      </c:pivotFmt>
      <c:pivotFmt>
        <c:idx val="13"/>
        <c:spPr>
          <a:solidFill>
            <a:schemeClr val="accent1"/>
          </a:solidFill>
          <a:ln>
            <a:noFill/>
          </a:ln>
          <a:effectLst>
            <a:outerShdw blurRad="317500" algn="ctr" rotWithShape="0">
              <a:prstClr val="black">
                <a:alpha val="25000"/>
              </a:prstClr>
            </a:outerShdw>
          </a:effectLst>
        </c:spPr>
      </c:pivotFmt>
      <c:pivotFmt>
        <c:idx val="14"/>
        <c:spPr>
          <a:solidFill>
            <a:schemeClr val="accent1"/>
          </a:solidFill>
          <a:ln>
            <a:noFill/>
          </a:ln>
          <a:effectLst>
            <a:outerShdw blurRad="317500" algn="ctr" rotWithShape="0">
              <a:prstClr val="black">
                <a:alpha val="25000"/>
              </a:prstClr>
            </a:outerShdw>
          </a:effectLst>
        </c:spPr>
      </c:pivotFmt>
    </c:pivotFmts>
    <c:plotArea>
      <c:layout/>
      <c:pieChart>
        <c:varyColors val="1"/>
        <c:ser>
          <c:idx val="0"/>
          <c:order val="0"/>
          <c:tx>
            <c:strRef>
              <c:f>Planilha10!$B$3</c:f>
              <c:strCache>
                <c:ptCount val="1"/>
                <c:pt idx="0">
                  <c:v>Total</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C437-4C80-8E7E-5100218BD76F}"/>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C437-4C80-8E7E-5100218BD76F}"/>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C437-4C80-8E7E-5100218BD76F}"/>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C437-4C80-8E7E-5100218BD76F}"/>
              </c:ext>
            </c:extLst>
          </c:dPt>
          <c:dPt>
            <c:idx val="4"/>
            <c:bubble3D val="0"/>
            <c:spPr>
              <a:solidFill>
                <a:schemeClr val="accent5"/>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9-C437-4C80-8E7E-5100218BD76F}"/>
              </c:ext>
            </c:extLst>
          </c:dPt>
          <c:dPt>
            <c:idx val="5"/>
            <c:bubble3D val="0"/>
            <c:spPr>
              <a:solidFill>
                <a:schemeClr val="accent6"/>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B-C437-4C80-8E7E-5100218BD76F}"/>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Planilha10!$A$4:$A$10</c:f>
              <c:strCache>
                <c:ptCount val="6"/>
                <c:pt idx="0">
                  <c:v>Clean Energy</c:v>
                </c:pt>
                <c:pt idx="1">
                  <c:v>Enviromental Efficiency</c:v>
                </c:pt>
                <c:pt idx="2">
                  <c:v>Irrigation, Water resource management and sanitation</c:v>
                </c:pt>
                <c:pt idx="3">
                  <c:v>Social Infrastructure</c:v>
                </c:pt>
                <c:pt idx="4">
                  <c:v>Transport infrastructure</c:v>
                </c:pt>
                <c:pt idx="5">
                  <c:v>Urban Development</c:v>
                </c:pt>
              </c:strCache>
            </c:strRef>
          </c:cat>
          <c:val>
            <c:numRef>
              <c:f>Planilha10!$B$4:$B$10</c:f>
              <c:numCache>
                <c:formatCode>General</c:formatCode>
                <c:ptCount val="6"/>
                <c:pt idx="0">
                  <c:v>10.0</c:v>
                </c:pt>
                <c:pt idx="1">
                  <c:v>2.0</c:v>
                </c:pt>
                <c:pt idx="2">
                  <c:v>5.0</c:v>
                </c:pt>
                <c:pt idx="3">
                  <c:v>1.0</c:v>
                </c:pt>
                <c:pt idx="4">
                  <c:v>9.0</c:v>
                </c:pt>
                <c:pt idx="5">
                  <c:v>3.0</c:v>
                </c:pt>
              </c:numCache>
            </c:numRef>
          </c:val>
          <c:extLst xmlns:c16r2="http://schemas.microsoft.com/office/drawing/2015/06/chart">
            <c:ext xmlns:c16="http://schemas.microsoft.com/office/drawing/2014/chart" uri="{C3380CC4-5D6E-409C-BE32-E72D297353CC}">
              <c16:uniqueId val="{0000000C-C437-4C80-8E7E-5100218BD76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[COLETA DE DADOS QUALITATIVOS.ods]Planilha2!Tabela dinâmica3</c:name>
    <c:fmtId val="-1"/>
  </c:pivotSource>
  <c:chart>
    <c:autoTitleDeleted val="0"/>
    <c:pivotFmts>
      <c:pivotFmt>
        <c:idx val="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4"/>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6"/>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7"/>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8"/>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9"/>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0"/>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2"/>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Planilha2!$B$3</c:f>
              <c:strCache>
                <c:ptCount val="1"/>
                <c:pt idx="0">
                  <c:v>Total of the projects in 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Planilha2!$A$4:$A$9</c:f>
              <c:strCache>
                <c:ptCount val="5"/>
                <c:pt idx="0">
                  <c:v>BRAZIL</c:v>
                </c:pt>
                <c:pt idx="1">
                  <c:v>CHINA</c:v>
                </c:pt>
                <c:pt idx="2">
                  <c:v>INDIA</c:v>
                </c:pt>
                <c:pt idx="3">
                  <c:v>RUSSIA</c:v>
                </c:pt>
                <c:pt idx="4">
                  <c:v>SOUTH AFRICA</c:v>
                </c:pt>
              </c:strCache>
            </c:strRef>
          </c:cat>
          <c:val>
            <c:numRef>
              <c:f>Planilha2!$B$4:$B$9</c:f>
              <c:numCache>
                <c:formatCode>General</c:formatCode>
                <c:ptCount val="5"/>
                <c:pt idx="0">
                  <c:v>1.0</c:v>
                </c:pt>
                <c:pt idx="1">
                  <c:v>2.0</c:v>
                </c:pt>
                <c:pt idx="2">
                  <c:v>2.0</c:v>
                </c:pt>
                <c:pt idx="3">
                  <c:v>1.0</c:v>
                </c:pt>
                <c:pt idx="4">
                  <c:v>1.0</c:v>
                </c:pt>
              </c:numCache>
            </c:numRef>
          </c:val>
          <c:extLst xmlns:c16r2="http://schemas.microsoft.com/office/drawing/2015/06/chart">
            <c:ext xmlns:c16="http://schemas.microsoft.com/office/drawing/2014/chart" uri="{C3380CC4-5D6E-409C-BE32-E72D297353CC}">
              <c16:uniqueId val="{00000000-8693-4EA0-BCB8-B0E1F5B2F92B}"/>
            </c:ext>
          </c:extLst>
        </c:ser>
        <c:ser>
          <c:idx val="1"/>
          <c:order val="1"/>
          <c:tx>
            <c:strRef>
              <c:f>Planilha2!$C$3</c:f>
              <c:strCache>
                <c:ptCount val="1"/>
                <c:pt idx="0">
                  <c:v>Total of the projects in 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Planilha2!$A$4:$A$9</c:f>
              <c:strCache>
                <c:ptCount val="5"/>
                <c:pt idx="0">
                  <c:v>BRAZIL</c:v>
                </c:pt>
                <c:pt idx="1">
                  <c:v>CHINA</c:v>
                </c:pt>
                <c:pt idx="2">
                  <c:v>INDIA</c:v>
                </c:pt>
                <c:pt idx="3">
                  <c:v>RUSSIA</c:v>
                </c:pt>
                <c:pt idx="4">
                  <c:v>SOUTH AFRICA</c:v>
                </c:pt>
              </c:strCache>
            </c:strRef>
          </c:cat>
          <c:val>
            <c:numRef>
              <c:f>Planilha2!$C$4:$C$9</c:f>
              <c:numCache>
                <c:formatCode>General</c:formatCode>
                <c:ptCount val="5"/>
                <c:pt idx="0">
                  <c:v>0.0</c:v>
                </c:pt>
                <c:pt idx="1">
                  <c:v>2.0</c:v>
                </c:pt>
                <c:pt idx="2">
                  <c:v>2.0</c:v>
                </c:pt>
                <c:pt idx="3">
                  <c:v>2.0</c:v>
                </c:pt>
                <c:pt idx="4">
                  <c:v>0.0</c:v>
                </c:pt>
              </c:numCache>
            </c:numRef>
          </c:val>
          <c:extLst xmlns:c16r2="http://schemas.microsoft.com/office/drawing/2015/06/chart">
            <c:ext xmlns:c16="http://schemas.microsoft.com/office/drawing/2014/chart" uri="{C3380CC4-5D6E-409C-BE32-E72D297353CC}">
              <c16:uniqueId val="{00000001-8693-4EA0-BCB8-B0E1F5B2F92B}"/>
            </c:ext>
          </c:extLst>
        </c:ser>
        <c:ser>
          <c:idx val="2"/>
          <c:order val="2"/>
          <c:tx>
            <c:strRef>
              <c:f>Planilha2!$D$3</c:f>
              <c:strCache>
                <c:ptCount val="1"/>
                <c:pt idx="0">
                  <c:v>Total of the projects in 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Planilha2!$A$4:$A$9</c:f>
              <c:strCache>
                <c:ptCount val="5"/>
                <c:pt idx="0">
                  <c:v>BRAZIL</c:v>
                </c:pt>
                <c:pt idx="1">
                  <c:v>CHINA</c:v>
                </c:pt>
                <c:pt idx="2">
                  <c:v>INDIA</c:v>
                </c:pt>
                <c:pt idx="3">
                  <c:v>RUSSIA</c:v>
                </c:pt>
                <c:pt idx="4">
                  <c:v>SOUTH AFRICA</c:v>
                </c:pt>
              </c:strCache>
            </c:strRef>
          </c:cat>
          <c:val>
            <c:numRef>
              <c:f>Planilha2!$D$4:$D$9</c:f>
              <c:numCache>
                <c:formatCode>General</c:formatCode>
                <c:ptCount val="5"/>
                <c:pt idx="0">
                  <c:v>3.0</c:v>
                </c:pt>
                <c:pt idx="1">
                  <c:v>5.0</c:v>
                </c:pt>
                <c:pt idx="2">
                  <c:v>4.0</c:v>
                </c:pt>
                <c:pt idx="3">
                  <c:v>3.0</c:v>
                </c:pt>
                <c:pt idx="4">
                  <c:v>2.0</c:v>
                </c:pt>
              </c:numCache>
            </c:numRef>
          </c:val>
          <c:extLst xmlns:c16r2="http://schemas.microsoft.com/office/drawing/2015/06/chart">
            <c:ext xmlns:c16="http://schemas.microsoft.com/office/drawing/2014/chart" uri="{C3380CC4-5D6E-409C-BE32-E72D297353CC}">
              <c16:uniqueId val="{00000002-8693-4EA0-BCB8-B0E1F5B2F92B}"/>
            </c:ext>
          </c:extLst>
        </c:ser>
        <c:dLbls>
          <c:dLblPos val="outEnd"/>
          <c:showLegendKey val="0"/>
          <c:showVal val="1"/>
          <c:showCatName val="0"/>
          <c:showSerName val="0"/>
          <c:showPercent val="0"/>
          <c:showBubbleSize val="0"/>
        </c:dLbls>
        <c:gapWidth val="444"/>
        <c:overlap val="-90"/>
        <c:axId val="2104546056"/>
        <c:axId val="2103047144"/>
      </c:barChart>
      <c:catAx>
        <c:axId val="2104546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03047144"/>
        <c:crosses val="autoZero"/>
        <c:auto val="1"/>
        <c:lblAlgn val="ctr"/>
        <c:lblOffset val="100"/>
        <c:noMultiLvlLbl val="0"/>
      </c:catAx>
      <c:valAx>
        <c:axId val="2103047144"/>
        <c:scaling>
          <c:orientation val="minMax"/>
        </c:scaling>
        <c:delete val="1"/>
        <c:axPos val="l"/>
        <c:numFmt formatCode="General" sourceLinked="1"/>
        <c:majorTickMark val="none"/>
        <c:minorTickMark val="none"/>
        <c:tickLblPos val="nextTo"/>
        <c:crossAx val="2104546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b:Source>
    <b:Tag>Wan19</b:Tag>
    <b:SourceType>ArticleInAPeriodical</b:SourceType>
    <b:Guid>{D83266F4-143D-4CD0-8D10-93BCEB1B817F}</b:Guid>
    <b:Title>The New Development Bank and the Asian Infrastructure Investment Bank: China’s Ambiguous Approach to Global Financial Governance</b:Title>
    <b:Year>2019</b:Year>
    <b:Publisher>International Institute of Social Studies</b:Publisher>
    <b:Author>
      <b:Author>
        <b:NameList>
          <b:Person>
            <b:Last>Wang</b:Last>
            <b:First>Hongying</b:First>
          </b:Person>
        </b:NameList>
      </b:Author>
    </b:Author>
    <b:Volume>50</b:Volume>
    <b:Issue>Special Issue</b:Issue>
    <b:PeriodicalTitle>Development and Change</b:PeriodicalTitle>
    <b:Edition>1</b:Edition>
    <b:RefOrder>1</b:RefOrder>
  </b:Source>
</b:Sources>
</file>

<file path=customXml/itemProps1.xml><?xml version="1.0" encoding="utf-8"?>
<ds:datastoreItem xmlns:ds="http://schemas.openxmlformats.org/officeDocument/2006/customXml" ds:itemID="{EBCAC909-7C92-1440-91D4-13D8E45F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3271</TotalTime>
  <Pages>16</Pages>
  <Words>5365</Words>
  <Characters>30583</Characters>
  <Application>Microsoft Macintosh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Raquel Anne</cp:lastModifiedBy>
  <cp:revision>539</cp:revision>
  <dcterms:created xsi:type="dcterms:W3CDTF">2019-11-05T03:00:00Z</dcterms:created>
  <dcterms:modified xsi:type="dcterms:W3CDTF">2020-03-03T01:21:00Z</dcterms:modified>
</cp:coreProperties>
</file>